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796A" w14:textId="1CF215AA" w:rsidR="00150E61" w:rsidRPr="0079457D" w:rsidRDefault="0079457D" w:rsidP="002E3120">
      <w:pPr>
        <w:rPr>
          <w:rFonts w:ascii="Segoe UI" w:hAnsi="Segoe UI" w:cs="Segoe UI"/>
          <w:b/>
          <w:bCs/>
          <w:sz w:val="24"/>
          <w:szCs w:val="24"/>
        </w:rPr>
      </w:pPr>
      <w:r w:rsidRPr="0079457D">
        <w:rPr>
          <w:rFonts w:ascii="Segoe UI" w:hAnsi="Segoe UI" w:cs="Segoe UI"/>
          <w:b/>
          <w:bCs/>
          <w:sz w:val="24"/>
          <w:szCs w:val="24"/>
        </w:rPr>
        <w:t>G</w:t>
      </w:r>
      <w:r w:rsidR="00B97293" w:rsidRPr="0079457D">
        <w:rPr>
          <w:rFonts w:ascii="Segoe UI" w:hAnsi="Segoe UI" w:cs="Segoe UI"/>
          <w:b/>
          <w:bCs/>
          <w:sz w:val="24"/>
          <w:szCs w:val="24"/>
        </w:rPr>
        <w:t xml:space="preserve">uidance </w:t>
      </w:r>
      <w:r w:rsidRPr="0079457D">
        <w:rPr>
          <w:rFonts w:ascii="Segoe UI" w:hAnsi="Segoe UI" w:cs="Segoe UI"/>
          <w:b/>
          <w:bCs/>
          <w:sz w:val="24"/>
          <w:szCs w:val="24"/>
        </w:rPr>
        <w:t xml:space="preserve">for surveyors </w:t>
      </w:r>
      <w:r w:rsidR="00B97293" w:rsidRPr="0079457D">
        <w:rPr>
          <w:rFonts w:ascii="Segoe UI" w:hAnsi="Segoe UI" w:cs="Segoe UI"/>
          <w:b/>
          <w:bCs/>
          <w:sz w:val="24"/>
          <w:szCs w:val="24"/>
        </w:rPr>
        <w:t>on First Homes</w:t>
      </w:r>
      <w:r w:rsidR="002E3120" w:rsidRPr="0079457D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0A468A77" w14:textId="7760E687" w:rsidR="002C55DC" w:rsidRPr="00B262D9" w:rsidRDefault="002C55DC" w:rsidP="002C55DC">
      <w:pPr>
        <w:rPr>
          <w:rFonts w:ascii="Segoe UI" w:hAnsi="Segoe UI" w:cs="Segoe UI"/>
          <w:b/>
          <w:bCs/>
        </w:rPr>
      </w:pPr>
      <w:r w:rsidRPr="00B262D9">
        <w:rPr>
          <w:rFonts w:ascii="Segoe UI" w:hAnsi="Segoe UI" w:cs="Segoe UI"/>
          <w:b/>
          <w:bCs/>
        </w:rPr>
        <w:t>Background</w:t>
      </w:r>
    </w:p>
    <w:p w14:paraId="0318BD23" w14:textId="19546EEA" w:rsidR="00E03279" w:rsidRPr="00FF6359" w:rsidRDefault="004026C5" w:rsidP="002C55DC">
      <w:pPr>
        <w:rPr>
          <w:rFonts w:ascii="Segoe UI" w:hAnsi="Segoe UI" w:cs="Segoe UI"/>
        </w:rPr>
      </w:pPr>
      <w:r w:rsidRPr="004026C5">
        <w:rPr>
          <w:rFonts w:ascii="Segoe UI" w:hAnsi="Segoe UI" w:cs="Segoe UI"/>
        </w:rPr>
        <w:t>First Homes</w:t>
      </w:r>
      <w:r w:rsidR="008F2489">
        <w:rPr>
          <w:rStyle w:val="FootnoteReference"/>
          <w:rFonts w:ascii="Segoe UI" w:hAnsi="Segoe UI" w:cs="Segoe UI"/>
        </w:rPr>
        <w:footnoteReference w:id="2"/>
      </w:r>
      <w:r w:rsidRPr="004026C5">
        <w:rPr>
          <w:rFonts w:ascii="Segoe UI" w:hAnsi="Segoe UI" w:cs="Segoe UI"/>
        </w:rPr>
        <w:t>are a form of affordable housing, sold to first-time buyers at a discount of at least 30 percent against market value.  The percentage discount remains attached to the property in perpetuity, so that future first-time buyers can also benefit from the scheme.</w:t>
      </w:r>
      <w:r w:rsidRPr="004026C5">
        <w:t xml:space="preserve">  </w:t>
      </w:r>
      <w:r w:rsidRPr="004026C5">
        <w:rPr>
          <w:rFonts w:ascii="Segoe UI" w:hAnsi="Segoe UI" w:cs="Segoe UI"/>
        </w:rPr>
        <w:t>Local authorities can choose to set the discount at 40% or 50% instead of 30%.</w:t>
      </w:r>
      <w:r w:rsidR="002C55DC" w:rsidRPr="00B262D9">
        <w:rPr>
          <w:rFonts w:ascii="Segoe UI" w:hAnsi="Segoe UI" w:cs="Segoe UI"/>
        </w:rPr>
        <w:t xml:space="preserve"> 50%). </w:t>
      </w:r>
    </w:p>
    <w:p w14:paraId="69E695FE" w14:textId="2CE60D1B" w:rsidR="002C55DC" w:rsidRPr="00B262D9" w:rsidRDefault="001C5E80" w:rsidP="002C55DC">
      <w:pPr>
        <w:rPr>
          <w:rFonts w:ascii="Segoe UI" w:hAnsi="Segoe UI" w:cs="Segoe UI"/>
        </w:rPr>
      </w:pPr>
      <w:r>
        <w:rPr>
          <w:rFonts w:ascii="Segoe UI" w:hAnsi="Segoe UI" w:cs="Segoe UI"/>
        </w:rPr>
        <w:t>For the first sale, t</w:t>
      </w:r>
      <w:r w:rsidR="002C55DC" w:rsidRPr="00B262D9">
        <w:rPr>
          <w:rFonts w:ascii="Segoe UI" w:hAnsi="Segoe UI" w:cs="Segoe UI"/>
        </w:rPr>
        <w:t>he value of homes after the discount will be capped at £250,000 (or £420,000 inside London</w:t>
      </w:r>
      <w:r w:rsidR="00732CF9">
        <w:rPr>
          <w:rFonts w:ascii="Segoe UI" w:hAnsi="Segoe UI" w:cs="Segoe UI"/>
        </w:rPr>
        <w:t>)</w:t>
      </w:r>
      <w:r w:rsidR="00120C2D" w:rsidRPr="00B262D9">
        <w:rPr>
          <w:rStyle w:val="FootnoteReference"/>
          <w:rFonts w:ascii="Segoe UI" w:hAnsi="Segoe UI" w:cs="Segoe UI"/>
        </w:rPr>
        <w:footnoteReference w:id="3"/>
      </w:r>
      <w:r w:rsidR="00A023DE">
        <w:rPr>
          <w:rFonts w:ascii="Segoe UI" w:hAnsi="Segoe UI" w:cs="Segoe UI"/>
        </w:rPr>
        <w:t xml:space="preserve"> and</w:t>
      </w:r>
      <w:r w:rsidR="002C55DC" w:rsidRPr="00B262D9">
        <w:rPr>
          <w:rFonts w:ascii="Segoe UI" w:hAnsi="Segoe UI" w:cs="Segoe UI"/>
        </w:rPr>
        <w:t xml:space="preserve"> </w:t>
      </w:r>
      <w:r w:rsidR="00A023DE">
        <w:rPr>
          <w:rFonts w:ascii="Segoe UI" w:hAnsi="Segoe UI" w:cs="Segoe UI"/>
        </w:rPr>
        <w:t>l</w:t>
      </w:r>
      <w:r w:rsidR="00A1239B">
        <w:rPr>
          <w:rFonts w:ascii="Segoe UI" w:hAnsi="Segoe UI" w:cs="Segoe UI"/>
        </w:rPr>
        <w:t xml:space="preserve">ocal authorities can set a lower </w:t>
      </w:r>
      <w:r w:rsidR="00F03372">
        <w:rPr>
          <w:rFonts w:ascii="Segoe UI" w:hAnsi="Segoe UI" w:cs="Segoe UI"/>
        </w:rPr>
        <w:t>price cap</w:t>
      </w:r>
      <w:r w:rsidR="00A023DE">
        <w:rPr>
          <w:rFonts w:ascii="Segoe UI" w:hAnsi="Segoe UI" w:cs="Segoe UI"/>
        </w:rPr>
        <w:t>.</w:t>
      </w:r>
    </w:p>
    <w:p w14:paraId="7C5DECCC" w14:textId="77777777" w:rsidR="002C55DC" w:rsidRPr="00B262D9" w:rsidRDefault="002C55DC" w:rsidP="002C55DC">
      <w:pPr>
        <w:rPr>
          <w:rFonts w:ascii="Segoe UI" w:hAnsi="Segoe UI" w:cs="Segoe UI"/>
          <w:b/>
          <w:bCs/>
        </w:rPr>
      </w:pPr>
      <w:r w:rsidRPr="00B262D9">
        <w:rPr>
          <w:rFonts w:ascii="Segoe UI" w:hAnsi="Segoe UI" w:cs="Segoe UI"/>
          <w:b/>
          <w:bCs/>
        </w:rPr>
        <w:t>Eligibility criteria</w:t>
      </w:r>
    </w:p>
    <w:p w14:paraId="1740E41D" w14:textId="5ED51DF0" w:rsidR="002C55DC" w:rsidRPr="00B262D9" w:rsidRDefault="002C55DC" w:rsidP="002C55D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First Homes are only available for first-time buyers.</w:t>
      </w:r>
      <w:r w:rsidRPr="00B262D9">
        <w:rPr>
          <w:rStyle w:val="FootnoteReference"/>
          <w:rFonts w:ascii="Segoe UI" w:hAnsi="Segoe UI" w:cs="Segoe UI"/>
        </w:rPr>
        <w:footnoteReference w:id="4"/>
      </w:r>
      <w:r w:rsidRPr="00B262D9">
        <w:rPr>
          <w:rFonts w:ascii="Segoe UI" w:hAnsi="Segoe UI" w:cs="Segoe UI"/>
        </w:rPr>
        <w:t xml:space="preserve"> In the case of a joint purchase, both purchasers must meet the first-time buyer definition.</w:t>
      </w:r>
    </w:p>
    <w:p w14:paraId="349A3801" w14:textId="77777777" w:rsidR="002C55DC" w:rsidRPr="00B262D9" w:rsidRDefault="002C55DC" w:rsidP="002C55D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Purchasers should have a total household annual income below £80,000 (or £90,000 in London), to ensure these homes are bought by those who need support.</w:t>
      </w:r>
    </w:p>
    <w:p w14:paraId="1B633F7B" w14:textId="7334453D" w:rsidR="002C55DC" w:rsidRPr="00B262D9" w:rsidRDefault="002C55DC" w:rsidP="002C55D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F2F0369">
        <w:rPr>
          <w:rFonts w:ascii="Segoe UI" w:hAnsi="Segoe UI" w:cs="Segoe UI"/>
        </w:rPr>
        <w:t>Purchasers will need to use a mortgage or home purchase plan to cover at least 50 percent of the purchase price of a First Home.</w:t>
      </w:r>
    </w:p>
    <w:p w14:paraId="6690E643" w14:textId="6D4426ED" w:rsidR="009C15B5" w:rsidRPr="00B262D9" w:rsidRDefault="00F93EFC" w:rsidP="009C15B5">
      <w:p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 xml:space="preserve">The </w:t>
      </w:r>
      <w:r w:rsidR="0032599A" w:rsidRPr="00B262D9">
        <w:rPr>
          <w:rFonts w:ascii="Segoe UI" w:hAnsi="Segoe UI" w:cs="Segoe UI"/>
        </w:rPr>
        <w:t xml:space="preserve">above </w:t>
      </w:r>
      <w:r w:rsidR="003B5AD6" w:rsidRPr="00B262D9">
        <w:rPr>
          <w:rFonts w:ascii="Segoe UI" w:hAnsi="Segoe UI" w:cs="Segoe UI"/>
        </w:rPr>
        <w:t xml:space="preserve">national </w:t>
      </w:r>
      <w:r w:rsidRPr="00B262D9">
        <w:rPr>
          <w:rFonts w:ascii="Segoe UI" w:hAnsi="Segoe UI" w:cs="Segoe UI"/>
        </w:rPr>
        <w:t xml:space="preserve">eligibility criteria </w:t>
      </w:r>
      <w:r w:rsidR="00A25631" w:rsidRPr="00B262D9">
        <w:rPr>
          <w:rFonts w:ascii="Segoe UI" w:hAnsi="Segoe UI" w:cs="Segoe UI"/>
        </w:rPr>
        <w:t xml:space="preserve">will apply </w:t>
      </w:r>
      <w:r w:rsidRPr="00B262D9">
        <w:rPr>
          <w:rFonts w:ascii="Segoe UI" w:hAnsi="Segoe UI" w:cs="Segoe UI"/>
        </w:rPr>
        <w:t xml:space="preserve">for the first </w:t>
      </w:r>
      <w:r w:rsidR="0032599A" w:rsidRPr="00B262D9">
        <w:rPr>
          <w:rFonts w:ascii="Segoe UI" w:hAnsi="Segoe UI" w:cs="Segoe UI"/>
        </w:rPr>
        <w:t xml:space="preserve">six months </w:t>
      </w:r>
      <w:r w:rsidR="00770135" w:rsidRPr="00B262D9">
        <w:rPr>
          <w:rFonts w:ascii="Segoe UI" w:hAnsi="Segoe UI" w:cs="Segoe UI"/>
        </w:rPr>
        <w:t xml:space="preserve">of </w:t>
      </w:r>
      <w:r w:rsidR="0032599A" w:rsidRPr="00B262D9">
        <w:rPr>
          <w:rFonts w:ascii="Segoe UI" w:hAnsi="Segoe UI" w:cs="Segoe UI"/>
        </w:rPr>
        <w:t>marketing</w:t>
      </w:r>
      <w:r w:rsidR="00C27A78">
        <w:rPr>
          <w:rFonts w:ascii="Segoe UI" w:hAnsi="Segoe UI" w:cs="Segoe UI"/>
        </w:rPr>
        <w:t xml:space="preserve"> (see </w:t>
      </w:r>
      <w:r w:rsidR="00292D7C">
        <w:rPr>
          <w:rFonts w:ascii="Segoe UI" w:hAnsi="Segoe UI" w:cs="Segoe UI"/>
        </w:rPr>
        <w:t>First Homes Guidance for more information)</w:t>
      </w:r>
      <w:r w:rsidR="0032599A" w:rsidRPr="00B262D9">
        <w:rPr>
          <w:rFonts w:ascii="Segoe UI" w:hAnsi="Segoe UI" w:cs="Segoe UI"/>
        </w:rPr>
        <w:t xml:space="preserve">. </w:t>
      </w:r>
      <w:r w:rsidR="009C15B5" w:rsidRPr="00B262D9">
        <w:rPr>
          <w:rFonts w:ascii="Segoe UI" w:hAnsi="Segoe UI" w:cs="Segoe UI"/>
        </w:rPr>
        <w:t xml:space="preserve">Local authorities </w:t>
      </w:r>
      <w:r w:rsidR="00EA72B0" w:rsidRPr="00B262D9">
        <w:rPr>
          <w:rFonts w:ascii="Segoe UI" w:hAnsi="Segoe UI" w:cs="Segoe UI"/>
        </w:rPr>
        <w:t>can</w:t>
      </w:r>
      <w:r w:rsidR="009C15B5" w:rsidRPr="00B262D9">
        <w:rPr>
          <w:rFonts w:ascii="Segoe UI" w:hAnsi="Segoe UI" w:cs="Segoe UI"/>
        </w:rPr>
        <w:t xml:space="preserve"> use the local plan-making process to set local eligibility criteria </w:t>
      </w:r>
      <w:r w:rsidR="00FB1870" w:rsidRPr="00B262D9">
        <w:rPr>
          <w:rFonts w:ascii="Segoe UI" w:hAnsi="Segoe UI" w:cs="Segoe UI"/>
        </w:rPr>
        <w:t xml:space="preserve">applicable </w:t>
      </w:r>
      <w:r w:rsidR="005D23F8" w:rsidRPr="00B262D9">
        <w:rPr>
          <w:rFonts w:ascii="Segoe UI" w:hAnsi="Segoe UI" w:cs="Segoe UI"/>
        </w:rPr>
        <w:t xml:space="preserve">for </w:t>
      </w:r>
      <w:r w:rsidR="00840D04" w:rsidRPr="00B262D9">
        <w:rPr>
          <w:rFonts w:ascii="Segoe UI" w:hAnsi="Segoe UI" w:cs="Segoe UI"/>
        </w:rPr>
        <w:t xml:space="preserve">the first </w:t>
      </w:r>
      <w:r w:rsidR="005D23F8" w:rsidRPr="00B262D9">
        <w:rPr>
          <w:rFonts w:ascii="Segoe UI" w:hAnsi="Segoe UI" w:cs="Segoe UI"/>
        </w:rPr>
        <w:t>three months</w:t>
      </w:r>
      <w:r w:rsidR="005060CF">
        <w:rPr>
          <w:rFonts w:ascii="Segoe UI" w:hAnsi="Segoe UI" w:cs="Segoe UI"/>
        </w:rPr>
        <w:t xml:space="preserve"> </w:t>
      </w:r>
      <w:r w:rsidR="005060CF" w:rsidRPr="005060CF">
        <w:rPr>
          <w:rFonts w:ascii="Segoe UI" w:hAnsi="Segoe UI" w:cs="Segoe UI"/>
        </w:rPr>
        <w:t>where applicable this supersedes the national criteria</w:t>
      </w:r>
      <w:r w:rsidR="009C15B5" w:rsidRPr="00B262D9">
        <w:rPr>
          <w:rFonts w:ascii="Segoe UI" w:hAnsi="Segoe UI" w:cs="Segoe UI"/>
        </w:rPr>
        <w:t>. These could be used to prioritise:</w:t>
      </w:r>
    </w:p>
    <w:p w14:paraId="5FDE89EE" w14:textId="45416AC0" w:rsidR="009C15B5" w:rsidRPr="00B262D9" w:rsidRDefault="009C15B5" w:rsidP="00EA72B0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people with a local connection,</w:t>
      </w:r>
    </w:p>
    <w:p w14:paraId="32F57294" w14:textId="79A91200" w:rsidR="00AB62AB" w:rsidRDefault="009C15B5" w:rsidP="000528D0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key workers</w:t>
      </w:r>
      <w:r w:rsidR="009E5C44" w:rsidRPr="00B262D9">
        <w:rPr>
          <w:rFonts w:ascii="Segoe UI" w:hAnsi="Segoe UI" w:cs="Segoe UI"/>
        </w:rPr>
        <w:t>, and/or</w:t>
      </w:r>
    </w:p>
    <w:p w14:paraId="0A348E67" w14:textId="5F3E1199" w:rsidR="00EA72B0" w:rsidRPr="00B262D9" w:rsidRDefault="009E5C44" w:rsidP="000528D0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5289EF93">
        <w:rPr>
          <w:rFonts w:ascii="Segoe UI" w:hAnsi="Segoe UI" w:cs="Segoe UI"/>
        </w:rPr>
        <w:t xml:space="preserve">lower </w:t>
      </w:r>
      <w:r w:rsidR="00987E6C" w:rsidRPr="5289EF93">
        <w:rPr>
          <w:rFonts w:ascii="Segoe UI" w:hAnsi="Segoe UI" w:cs="Segoe UI"/>
        </w:rPr>
        <w:t>household annual income</w:t>
      </w:r>
      <w:r w:rsidR="009C15B5" w:rsidRPr="5289EF93">
        <w:rPr>
          <w:rFonts w:ascii="Segoe UI" w:hAnsi="Segoe UI" w:cs="Segoe UI"/>
        </w:rPr>
        <w:t>.</w:t>
      </w:r>
    </w:p>
    <w:p w14:paraId="4C6A0615" w14:textId="3F0D9BCE" w:rsidR="005E507F" w:rsidRPr="00B262D9" w:rsidRDefault="005E507F" w:rsidP="005E507F">
      <w:p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 xml:space="preserve">If the property remains unsold </w:t>
      </w:r>
      <w:r w:rsidR="000D5623" w:rsidRPr="00B262D9">
        <w:rPr>
          <w:rFonts w:ascii="Segoe UI" w:hAnsi="Segoe UI" w:cs="Segoe UI"/>
        </w:rPr>
        <w:t xml:space="preserve">in the first three months </w:t>
      </w:r>
      <w:r w:rsidR="007B3768" w:rsidRPr="00B262D9">
        <w:rPr>
          <w:rFonts w:ascii="Segoe UI" w:hAnsi="Segoe UI" w:cs="Segoe UI"/>
        </w:rPr>
        <w:t xml:space="preserve">using the local </w:t>
      </w:r>
      <w:r w:rsidR="007C7BE5" w:rsidRPr="00B262D9">
        <w:rPr>
          <w:rFonts w:ascii="Segoe UI" w:hAnsi="Segoe UI" w:cs="Segoe UI"/>
        </w:rPr>
        <w:t>authorit</w:t>
      </w:r>
      <w:r w:rsidR="00AB76B4">
        <w:rPr>
          <w:rFonts w:ascii="Segoe UI" w:hAnsi="Segoe UI" w:cs="Segoe UI"/>
        </w:rPr>
        <w:t xml:space="preserve">y’s </w:t>
      </w:r>
      <w:r w:rsidR="000D5623" w:rsidRPr="00B262D9">
        <w:rPr>
          <w:rFonts w:ascii="Segoe UI" w:hAnsi="Segoe UI" w:cs="Segoe UI"/>
        </w:rPr>
        <w:t>criteria</w:t>
      </w:r>
      <w:r w:rsidR="00CA3358" w:rsidRPr="00B262D9">
        <w:rPr>
          <w:rFonts w:ascii="Segoe UI" w:hAnsi="Segoe UI" w:cs="Segoe UI"/>
        </w:rPr>
        <w:t>,</w:t>
      </w:r>
      <w:r w:rsidR="007C7BE5" w:rsidRPr="00B262D9">
        <w:rPr>
          <w:rFonts w:ascii="Segoe UI" w:hAnsi="Segoe UI" w:cs="Segoe UI"/>
        </w:rPr>
        <w:t xml:space="preserve"> it can be </w:t>
      </w:r>
      <w:r w:rsidR="00F2593D" w:rsidRPr="00B262D9">
        <w:rPr>
          <w:rFonts w:ascii="Segoe UI" w:hAnsi="Segoe UI" w:cs="Segoe UI"/>
        </w:rPr>
        <w:t xml:space="preserve">marketed </w:t>
      </w:r>
      <w:r w:rsidR="00510D2C" w:rsidRPr="00B262D9">
        <w:rPr>
          <w:rFonts w:ascii="Segoe UI" w:hAnsi="Segoe UI" w:cs="Segoe UI"/>
        </w:rPr>
        <w:t xml:space="preserve">under </w:t>
      </w:r>
      <w:r w:rsidR="007C7BE5" w:rsidRPr="00B262D9">
        <w:rPr>
          <w:rFonts w:ascii="Segoe UI" w:hAnsi="Segoe UI" w:cs="Segoe UI"/>
        </w:rPr>
        <w:t xml:space="preserve">the </w:t>
      </w:r>
      <w:r w:rsidRPr="00B262D9">
        <w:rPr>
          <w:rFonts w:ascii="Segoe UI" w:hAnsi="Segoe UI" w:cs="Segoe UI"/>
        </w:rPr>
        <w:t xml:space="preserve">national </w:t>
      </w:r>
      <w:r w:rsidR="00510D2C" w:rsidRPr="00B262D9">
        <w:rPr>
          <w:rFonts w:ascii="Segoe UI" w:hAnsi="Segoe UI" w:cs="Segoe UI"/>
        </w:rPr>
        <w:t xml:space="preserve">criteria </w:t>
      </w:r>
      <w:r w:rsidR="00F2593D" w:rsidRPr="00B262D9">
        <w:rPr>
          <w:rFonts w:ascii="Segoe UI" w:hAnsi="Segoe UI" w:cs="Segoe UI"/>
        </w:rPr>
        <w:t>for the next</w:t>
      </w:r>
      <w:r w:rsidR="00CE4498" w:rsidRPr="00B262D9">
        <w:rPr>
          <w:rFonts w:ascii="Segoe UI" w:hAnsi="Segoe UI" w:cs="Segoe UI"/>
        </w:rPr>
        <w:t xml:space="preserve"> </w:t>
      </w:r>
      <w:r w:rsidRPr="00B262D9">
        <w:rPr>
          <w:rFonts w:ascii="Segoe UI" w:hAnsi="Segoe UI" w:cs="Segoe UI"/>
        </w:rPr>
        <w:t>three months</w:t>
      </w:r>
      <w:r w:rsidR="00F2593D" w:rsidRPr="00B262D9">
        <w:rPr>
          <w:rFonts w:ascii="Segoe UI" w:hAnsi="Segoe UI" w:cs="Segoe UI"/>
        </w:rPr>
        <w:t>,</w:t>
      </w:r>
      <w:r w:rsidRPr="00B262D9">
        <w:rPr>
          <w:rFonts w:ascii="Segoe UI" w:hAnsi="Segoe UI" w:cs="Segoe UI"/>
        </w:rPr>
        <w:t xml:space="preserve"> after which point the property can </w:t>
      </w:r>
      <w:r w:rsidR="00827320" w:rsidRPr="00B262D9">
        <w:rPr>
          <w:rFonts w:ascii="Segoe UI" w:hAnsi="Segoe UI" w:cs="Segoe UI"/>
        </w:rPr>
        <w:t xml:space="preserve">typically </w:t>
      </w:r>
      <w:r w:rsidRPr="00B262D9">
        <w:rPr>
          <w:rFonts w:ascii="Segoe UI" w:hAnsi="Segoe UI" w:cs="Segoe UI"/>
        </w:rPr>
        <w:t xml:space="preserve">be sold without </w:t>
      </w:r>
      <w:r w:rsidR="00AB5AC9" w:rsidRPr="00B262D9">
        <w:rPr>
          <w:rFonts w:ascii="Segoe UI" w:hAnsi="Segoe UI" w:cs="Segoe UI"/>
        </w:rPr>
        <w:t xml:space="preserve">any </w:t>
      </w:r>
      <w:r w:rsidRPr="00B262D9">
        <w:rPr>
          <w:rFonts w:ascii="Segoe UI" w:hAnsi="Segoe UI" w:cs="Segoe UI"/>
        </w:rPr>
        <w:t>restrictions.</w:t>
      </w:r>
      <w:r w:rsidR="00AB5AC9" w:rsidRPr="00B262D9">
        <w:rPr>
          <w:rFonts w:ascii="Segoe UI" w:hAnsi="Segoe UI" w:cs="Segoe UI"/>
        </w:rPr>
        <w:t xml:space="preserve"> Lenders are also exempt from </w:t>
      </w:r>
      <w:r w:rsidR="00DC732C" w:rsidRPr="00B262D9">
        <w:rPr>
          <w:rFonts w:ascii="Segoe UI" w:hAnsi="Segoe UI" w:cs="Segoe UI"/>
        </w:rPr>
        <w:t xml:space="preserve">the eligibility criteria if enforcing the mortgagee exclusion clause. </w:t>
      </w:r>
    </w:p>
    <w:p w14:paraId="1D5EA140" w14:textId="77777777" w:rsidR="00095DAB" w:rsidRDefault="00095DAB" w:rsidP="000528D0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72DC7DE3" w14:textId="744F32D9" w:rsidR="000976A0" w:rsidRPr="00B262D9" w:rsidRDefault="000976A0" w:rsidP="000528D0">
      <w:pPr>
        <w:rPr>
          <w:rFonts w:ascii="Segoe UI" w:hAnsi="Segoe UI" w:cs="Segoe UI"/>
          <w:b/>
          <w:bCs/>
        </w:rPr>
      </w:pPr>
      <w:r w:rsidRPr="00B262D9">
        <w:rPr>
          <w:rFonts w:ascii="Segoe UI" w:hAnsi="Segoe UI" w:cs="Segoe UI"/>
          <w:b/>
          <w:bCs/>
        </w:rPr>
        <w:lastRenderedPageBreak/>
        <w:t>Valuation of First Homes</w:t>
      </w:r>
    </w:p>
    <w:p w14:paraId="4145DA2A" w14:textId="6F5F53D2" w:rsidR="009E1FFC" w:rsidRPr="004A3A4A" w:rsidRDefault="009E1FFC" w:rsidP="004A3A4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Valuers should </w:t>
      </w:r>
      <w:r w:rsidR="006F64A7">
        <w:rPr>
          <w:rFonts w:ascii="Segoe UI" w:hAnsi="Segoe UI" w:cs="Segoe UI"/>
        </w:rPr>
        <w:t xml:space="preserve">always </w:t>
      </w:r>
      <w:r>
        <w:rPr>
          <w:rFonts w:ascii="Segoe UI" w:hAnsi="Segoe UI" w:cs="Segoe UI"/>
        </w:rPr>
        <w:t>be cognisant of</w:t>
      </w:r>
      <w:r w:rsidR="006F64A7">
        <w:rPr>
          <w:rFonts w:ascii="Segoe UI" w:hAnsi="Segoe UI" w:cs="Segoe UI"/>
        </w:rPr>
        <w:t xml:space="preserve"> their broader requirements and RICS guidance, as stated in the </w:t>
      </w:r>
      <w:r w:rsidR="004A1C64">
        <w:rPr>
          <w:rFonts w:ascii="Segoe UI" w:hAnsi="Segoe UI" w:cs="Segoe UI"/>
        </w:rPr>
        <w:t>‘</w:t>
      </w:r>
      <w:hyperlink r:id="rId11" w:history="1">
        <w:r w:rsidR="004A1C64" w:rsidRPr="00795AC1">
          <w:rPr>
            <w:rStyle w:val="Hyperlink"/>
            <w:rFonts w:ascii="Segoe UI" w:hAnsi="Segoe UI" w:cs="Segoe UI"/>
          </w:rPr>
          <w:t>RICS Valuation - Global Standards’</w:t>
        </w:r>
      </w:hyperlink>
      <w:r w:rsidR="004A1C64">
        <w:rPr>
          <w:rFonts w:ascii="Segoe UI" w:hAnsi="Segoe UI" w:cs="Segoe UI"/>
        </w:rPr>
        <w:t xml:space="preserve"> (‘Red Book’)</w:t>
      </w:r>
      <w:r w:rsidR="00065C51">
        <w:rPr>
          <w:rFonts w:ascii="Segoe UI" w:hAnsi="Segoe UI" w:cs="Segoe UI"/>
        </w:rPr>
        <w:t>, ‘</w:t>
      </w:r>
      <w:hyperlink r:id="rId12" w:history="1">
        <w:r w:rsidR="00065C51" w:rsidRPr="0055276C">
          <w:rPr>
            <w:rStyle w:val="Hyperlink"/>
            <w:rFonts w:ascii="Segoe UI" w:hAnsi="Segoe UI" w:cs="Segoe UI"/>
          </w:rPr>
          <w:t>RICS Valuation - Global Standards 2017: UK national supplement</w:t>
        </w:r>
      </w:hyperlink>
      <w:r w:rsidR="0055276C">
        <w:rPr>
          <w:rFonts w:ascii="Segoe UI" w:hAnsi="Segoe UI" w:cs="Segoe UI"/>
        </w:rPr>
        <w:t xml:space="preserve"> – ‘</w:t>
      </w:r>
      <w:r w:rsidR="008E55BE" w:rsidRPr="008E55BE">
        <w:rPr>
          <w:rFonts w:ascii="Segoe UI" w:hAnsi="Segoe UI" w:cs="Segoe UI"/>
        </w:rPr>
        <w:t>UK VPGA 11 Valuation for residential</w:t>
      </w:r>
      <w:r w:rsidR="008E55BE">
        <w:rPr>
          <w:rFonts w:ascii="Segoe UI" w:hAnsi="Segoe UI" w:cs="Segoe UI"/>
        </w:rPr>
        <w:t xml:space="preserve"> </w:t>
      </w:r>
      <w:r w:rsidR="008E55BE" w:rsidRPr="008E55BE">
        <w:rPr>
          <w:rFonts w:ascii="Segoe UI" w:hAnsi="Segoe UI" w:cs="Segoe UI"/>
        </w:rPr>
        <w:t>mortgage purposes’</w:t>
      </w:r>
      <w:r w:rsidR="008E55BE">
        <w:rPr>
          <w:rFonts w:ascii="Segoe UI" w:hAnsi="Segoe UI" w:cs="Segoe UI"/>
        </w:rPr>
        <w:t xml:space="preserve"> and</w:t>
      </w:r>
      <w:r w:rsidR="004A3A4A">
        <w:rPr>
          <w:rFonts w:ascii="Segoe UI" w:hAnsi="Segoe UI" w:cs="Segoe UI"/>
        </w:rPr>
        <w:t xml:space="preserve"> the </w:t>
      </w:r>
      <w:hyperlink r:id="rId13" w:history="1">
        <w:r w:rsidR="004A3A4A" w:rsidRPr="00EC4F29">
          <w:rPr>
            <w:rStyle w:val="Hyperlink"/>
            <w:rFonts w:ascii="Segoe UI" w:hAnsi="Segoe UI" w:cs="Segoe UI"/>
          </w:rPr>
          <w:t>RICS Residential Mortgage Valuation Specification contained in UK Appendix 10</w:t>
        </w:r>
      </w:hyperlink>
      <w:r w:rsidR="004A3A4A" w:rsidRPr="004A3A4A">
        <w:rPr>
          <w:rFonts w:ascii="Segoe UI" w:hAnsi="Segoe UI" w:cs="Segoe UI"/>
        </w:rPr>
        <w:t xml:space="preserve"> of the January 2014 (revised April</w:t>
      </w:r>
      <w:r w:rsidR="004A3A4A">
        <w:rPr>
          <w:rFonts w:ascii="Segoe UI" w:hAnsi="Segoe UI" w:cs="Segoe UI"/>
        </w:rPr>
        <w:t xml:space="preserve"> </w:t>
      </w:r>
      <w:r w:rsidR="004A3A4A" w:rsidRPr="004A3A4A">
        <w:rPr>
          <w:rFonts w:ascii="Segoe UI" w:hAnsi="Segoe UI" w:cs="Segoe UI"/>
        </w:rPr>
        <w:t>2015) edition of RICS Valuation – Professional Standards UK</w:t>
      </w:r>
      <w:r w:rsidR="004A3A4A">
        <w:rPr>
          <w:rFonts w:ascii="Segoe UI" w:hAnsi="Segoe UI" w:cs="Segoe UI"/>
        </w:rPr>
        <w:t>.</w:t>
      </w:r>
    </w:p>
    <w:p w14:paraId="3FE2D08A" w14:textId="77777777" w:rsidR="009E1FFC" w:rsidRDefault="009E1FFC" w:rsidP="009E1FFC">
      <w:pPr>
        <w:pStyle w:val="ListParagraph"/>
        <w:ind w:left="360"/>
        <w:rPr>
          <w:rFonts w:ascii="Segoe UI" w:hAnsi="Segoe UI" w:cs="Segoe UI"/>
        </w:rPr>
      </w:pPr>
    </w:p>
    <w:p w14:paraId="74BF883A" w14:textId="2E7CB833" w:rsidR="00032122" w:rsidRPr="00032122" w:rsidRDefault="00596D09" w:rsidP="0003212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In order to protect the integrity of the scheme and ensure</w:t>
      </w:r>
      <w:r w:rsidR="00D2207F" w:rsidRPr="00B262D9">
        <w:rPr>
          <w:rFonts w:ascii="Segoe UI" w:hAnsi="Segoe UI" w:cs="Segoe UI"/>
        </w:rPr>
        <w:t xml:space="preserve"> eligible</w:t>
      </w:r>
      <w:r w:rsidRPr="00B262D9">
        <w:rPr>
          <w:rFonts w:ascii="Segoe UI" w:hAnsi="Segoe UI" w:cs="Segoe UI"/>
        </w:rPr>
        <w:t xml:space="preserve"> buyers receive a discount on </w:t>
      </w:r>
      <w:r w:rsidR="00D2207F" w:rsidRPr="00B262D9">
        <w:rPr>
          <w:rFonts w:ascii="Segoe UI" w:hAnsi="Segoe UI" w:cs="Segoe UI"/>
        </w:rPr>
        <w:t xml:space="preserve">a market </w:t>
      </w:r>
      <w:r w:rsidR="00F661C0" w:rsidRPr="00B262D9">
        <w:rPr>
          <w:rFonts w:ascii="Segoe UI" w:hAnsi="Segoe UI" w:cs="Segoe UI"/>
        </w:rPr>
        <w:t>value</w:t>
      </w:r>
      <w:r w:rsidR="00D2207F" w:rsidRPr="00B262D9">
        <w:rPr>
          <w:rFonts w:ascii="Segoe UI" w:hAnsi="Segoe UI" w:cs="Segoe UI"/>
        </w:rPr>
        <w:t xml:space="preserve">, </w:t>
      </w:r>
      <w:r w:rsidR="00FF620A" w:rsidRPr="00B262D9">
        <w:rPr>
          <w:rFonts w:ascii="Segoe UI" w:hAnsi="Segoe UI" w:cs="Segoe UI"/>
        </w:rPr>
        <w:t>RICS member</w:t>
      </w:r>
      <w:r w:rsidR="00993716">
        <w:rPr>
          <w:rFonts w:ascii="Segoe UI" w:hAnsi="Segoe UI" w:cs="Segoe UI"/>
        </w:rPr>
        <w:t>s</w:t>
      </w:r>
      <w:r w:rsidR="00FF620A" w:rsidRPr="00B262D9">
        <w:rPr>
          <w:rFonts w:ascii="Segoe UI" w:hAnsi="Segoe UI" w:cs="Segoe UI"/>
        </w:rPr>
        <w:t xml:space="preserve"> should be aware the</w:t>
      </w:r>
      <w:r w:rsidR="006429F6" w:rsidRPr="00B262D9">
        <w:rPr>
          <w:rFonts w:ascii="Segoe UI" w:hAnsi="Segoe UI" w:cs="Segoe UI"/>
        </w:rPr>
        <w:t>ir</w:t>
      </w:r>
      <w:r w:rsidR="00FF620A" w:rsidRPr="00B262D9">
        <w:rPr>
          <w:rFonts w:ascii="Segoe UI" w:hAnsi="Segoe UI" w:cs="Segoe UI"/>
        </w:rPr>
        <w:t xml:space="preserve"> </w:t>
      </w:r>
      <w:r w:rsidR="00955FA7" w:rsidRPr="00B262D9">
        <w:rPr>
          <w:rFonts w:ascii="Segoe UI" w:hAnsi="Segoe UI" w:cs="Segoe UI"/>
        </w:rPr>
        <w:t xml:space="preserve">valuation </w:t>
      </w:r>
      <w:r w:rsidR="006429F6" w:rsidRPr="00B262D9">
        <w:rPr>
          <w:rFonts w:ascii="Segoe UI" w:hAnsi="Segoe UI" w:cs="Segoe UI"/>
        </w:rPr>
        <w:t xml:space="preserve">of a First Homes property </w:t>
      </w:r>
      <w:r w:rsidR="00955FA7" w:rsidRPr="00B262D9">
        <w:rPr>
          <w:rFonts w:ascii="Segoe UI" w:hAnsi="Segoe UI" w:cs="Segoe UI"/>
        </w:rPr>
        <w:t xml:space="preserve">forms an important </w:t>
      </w:r>
      <w:r w:rsidR="0080591A" w:rsidRPr="00B262D9">
        <w:rPr>
          <w:rFonts w:ascii="Segoe UI" w:hAnsi="Segoe UI" w:cs="Segoe UI"/>
        </w:rPr>
        <w:t>aspect of determining a ma</w:t>
      </w:r>
      <w:r w:rsidR="00ED651F" w:rsidRPr="00B262D9">
        <w:rPr>
          <w:rFonts w:ascii="Segoe UI" w:hAnsi="Segoe UI" w:cs="Segoe UI"/>
        </w:rPr>
        <w:t xml:space="preserve">rket </w:t>
      </w:r>
      <w:r w:rsidR="00694AC7" w:rsidRPr="00B262D9">
        <w:rPr>
          <w:rFonts w:ascii="Segoe UI" w:hAnsi="Segoe UI" w:cs="Segoe UI"/>
        </w:rPr>
        <w:t xml:space="preserve">value </w:t>
      </w:r>
      <w:r w:rsidR="00F37457" w:rsidRPr="00B262D9">
        <w:rPr>
          <w:rFonts w:ascii="Segoe UI" w:hAnsi="Segoe UI" w:cs="Segoe UI"/>
        </w:rPr>
        <w:t>in the buying and selling process</w:t>
      </w:r>
      <w:r w:rsidR="004121AA" w:rsidRPr="00B262D9">
        <w:rPr>
          <w:rFonts w:ascii="Segoe UI" w:hAnsi="Segoe UI" w:cs="Segoe UI"/>
        </w:rPr>
        <w:t xml:space="preserve">. </w:t>
      </w:r>
    </w:p>
    <w:p w14:paraId="082D5149" w14:textId="5763EE4F" w:rsidR="00124F08" w:rsidRPr="00B262D9" w:rsidRDefault="00895703" w:rsidP="001C18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T</w:t>
      </w:r>
      <w:r w:rsidR="004121AA" w:rsidRPr="00B262D9">
        <w:rPr>
          <w:rFonts w:ascii="Segoe UI" w:hAnsi="Segoe UI" w:cs="Segoe UI"/>
        </w:rPr>
        <w:t xml:space="preserve">he final sale price </w:t>
      </w:r>
      <w:r w:rsidRPr="00B262D9">
        <w:rPr>
          <w:rFonts w:ascii="Segoe UI" w:hAnsi="Segoe UI" w:cs="Segoe UI"/>
        </w:rPr>
        <w:t xml:space="preserve">is determined </w:t>
      </w:r>
      <w:r w:rsidR="008D7019" w:rsidRPr="00B262D9">
        <w:rPr>
          <w:rFonts w:ascii="Segoe UI" w:hAnsi="Segoe UI" w:cs="Segoe UI"/>
        </w:rPr>
        <w:t xml:space="preserve">by applying the discount </w:t>
      </w:r>
      <w:r w:rsidR="001C578C">
        <w:rPr>
          <w:rFonts w:ascii="Segoe UI" w:hAnsi="Segoe UI" w:cs="Segoe UI"/>
        </w:rPr>
        <w:t>to</w:t>
      </w:r>
      <w:r w:rsidR="001C578C" w:rsidRPr="00B262D9">
        <w:rPr>
          <w:rFonts w:ascii="Segoe UI" w:hAnsi="Segoe UI" w:cs="Segoe UI"/>
        </w:rPr>
        <w:t xml:space="preserve"> </w:t>
      </w:r>
      <w:r w:rsidR="008D7019" w:rsidRPr="00B262D9">
        <w:rPr>
          <w:rFonts w:ascii="Segoe UI" w:hAnsi="Segoe UI" w:cs="Segoe UI"/>
        </w:rPr>
        <w:t xml:space="preserve">the </w:t>
      </w:r>
      <w:r w:rsidR="00FF03DE">
        <w:rPr>
          <w:rFonts w:ascii="Segoe UI" w:hAnsi="Segoe UI" w:cs="Segoe UI"/>
        </w:rPr>
        <w:t>opin</w:t>
      </w:r>
      <w:r w:rsidR="004727D0">
        <w:rPr>
          <w:rFonts w:ascii="Segoe UI" w:hAnsi="Segoe UI" w:cs="Segoe UI"/>
        </w:rPr>
        <w:t>ion of market value provided by the RICS member</w:t>
      </w:r>
      <w:r w:rsidR="004121AA" w:rsidRPr="00B262D9">
        <w:rPr>
          <w:rFonts w:ascii="Segoe UI" w:hAnsi="Segoe UI" w:cs="Segoe UI"/>
        </w:rPr>
        <w:t xml:space="preserve"> </w:t>
      </w:r>
      <w:r w:rsidRPr="00B262D9">
        <w:rPr>
          <w:rFonts w:ascii="Segoe UI" w:hAnsi="Segoe UI" w:cs="Segoe UI"/>
        </w:rPr>
        <w:t xml:space="preserve">and </w:t>
      </w:r>
      <w:r w:rsidR="008D7019" w:rsidRPr="00B262D9">
        <w:rPr>
          <w:rFonts w:ascii="Segoe UI" w:hAnsi="Segoe UI" w:cs="Segoe UI"/>
        </w:rPr>
        <w:t xml:space="preserve">used in the </w:t>
      </w:r>
      <w:r w:rsidRPr="00B262D9">
        <w:rPr>
          <w:rFonts w:ascii="Segoe UI" w:hAnsi="Segoe UI" w:cs="Segoe UI"/>
        </w:rPr>
        <w:t>subsequent conveyancing process.</w:t>
      </w:r>
      <w:r w:rsidR="008D7019" w:rsidRPr="00B262D9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1C18A2" w:rsidRPr="00B262D9" w14:paraId="40E8078E" w14:textId="77777777" w:rsidTr="005E3548">
        <w:tc>
          <w:tcPr>
            <w:tcW w:w="8656" w:type="dxa"/>
            <w:gridSpan w:val="2"/>
          </w:tcPr>
          <w:p w14:paraId="62E33152" w14:textId="272E3965" w:rsidR="001C18A2" w:rsidRPr="00B262D9" w:rsidRDefault="001C18A2" w:rsidP="00500802">
            <w:pPr>
              <w:spacing w:line="360" w:lineRule="auto"/>
              <w:rPr>
                <w:rFonts w:ascii="Segoe UI" w:hAnsi="Segoe UI" w:cs="Segoe UI"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Example</w:t>
            </w:r>
            <w:r w:rsidR="00994FD9">
              <w:rPr>
                <w:rFonts w:ascii="Segoe UI" w:hAnsi="Segoe UI" w:cs="Segoe UI"/>
                <w:b/>
                <w:bCs/>
              </w:rPr>
              <w:t xml:space="preserve"> based on property outside London</w:t>
            </w:r>
            <w:r w:rsidR="002A7A01">
              <w:rPr>
                <w:rFonts w:ascii="Segoe UI" w:hAnsi="Segoe UI" w:cs="Segoe UI"/>
                <w:b/>
                <w:bCs/>
              </w:rPr>
              <w:t xml:space="preserve"> </w:t>
            </w:r>
            <w:r w:rsidR="00E264F6">
              <w:rPr>
                <w:rFonts w:ascii="Segoe UI" w:hAnsi="Segoe UI" w:cs="Segoe UI"/>
                <w:b/>
                <w:bCs/>
              </w:rPr>
              <w:t>(</w:t>
            </w:r>
            <w:r w:rsidR="00E264F6" w:rsidRPr="00C551B9">
              <w:rPr>
                <w:rFonts w:ascii="Segoe UI" w:hAnsi="Segoe UI" w:cs="Segoe UI"/>
                <w:b/>
                <w:bCs/>
              </w:rPr>
              <w:t xml:space="preserve">first six months </w:t>
            </w:r>
            <w:r w:rsidR="00B42F6C">
              <w:rPr>
                <w:rFonts w:ascii="Segoe UI" w:hAnsi="Segoe UI" w:cs="Segoe UI"/>
                <w:b/>
                <w:bCs/>
              </w:rPr>
              <w:t>only</w:t>
            </w:r>
            <w:r w:rsidR="00E264F6">
              <w:rPr>
                <w:rFonts w:ascii="Segoe UI" w:hAnsi="Segoe UI" w:cs="Segoe UI"/>
                <w:b/>
                <w:bCs/>
              </w:rPr>
              <w:t>)</w:t>
            </w:r>
          </w:p>
        </w:tc>
      </w:tr>
      <w:tr w:rsidR="002A7B79" w:rsidRPr="00B262D9" w14:paraId="67E2DC22" w14:textId="77777777" w:rsidTr="00500802">
        <w:tc>
          <w:tcPr>
            <w:tcW w:w="4328" w:type="dxa"/>
          </w:tcPr>
          <w:p w14:paraId="1886CEFA" w14:textId="72988496" w:rsidR="002A7B79" w:rsidRPr="00B262D9" w:rsidRDefault="001C18A2" w:rsidP="0050080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Initial sale</w:t>
            </w:r>
            <w:r w:rsidR="0020106A">
              <w:rPr>
                <w:rFonts w:ascii="Segoe UI" w:hAnsi="Segoe UI" w:cs="Segoe UI"/>
                <w:b/>
                <w:bCs/>
              </w:rPr>
              <w:t xml:space="preserve"> by a builder</w:t>
            </w:r>
          </w:p>
        </w:tc>
        <w:tc>
          <w:tcPr>
            <w:tcW w:w="4328" w:type="dxa"/>
          </w:tcPr>
          <w:p w14:paraId="06BEFC54" w14:textId="664A5CDA" w:rsidR="002A7B79" w:rsidRPr="00B262D9" w:rsidRDefault="00D54341" w:rsidP="001C18A2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At r</w:t>
            </w:r>
            <w:r w:rsidR="001C18A2" w:rsidRPr="00B262D9">
              <w:rPr>
                <w:rFonts w:ascii="Segoe UI" w:hAnsi="Segoe UI" w:cs="Segoe UI"/>
                <w:b/>
                <w:bCs/>
              </w:rPr>
              <w:t>e-sale</w:t>
            </w:r>
          </w:p>
        </w:tc>
      </w:tr>
      <w:tr w:rsidR="002A7B79" w:rsidRPr="00B262D9" w14:paraId="19B71042" w14:textId="77777777" w:rsidTr="00500802">
        <w:tc>
          <w:tcPr>
            <w:tcW w:w="4328" w:type="dxa"/>
          </w:tcPr>
          <w:p w14:paraId="5CF6D30B" w14:textId="01EF015B" w:rsidR="002A7B79" w:rsidRPr="00B262D9" w:rsidRDefault="00073752" w:rsidP="002A7B7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2A7B79" w:rsidRPr="00B262D9">
              <w:rPr>
                <w:rFonts w:ascii="Segoe UI" w:hAnsi="Segoe UI" w:cs="Segoe UI"/>
              </w:rPr>
              <w:t xml:space="preserve">arket </w:t>
            </w:r>
            <w:r w:rsidR="00A3691E">
              <w:rPr>
                <w:rFonts w:ascii="Segoe UI" w:hAnsi="Segoe UI" w:cs="Segoe UI"/>
              </w:rPr>
              <w:t>value</w:t>
            </w:r>
            <w:r w:rsidR="00A13DC1" w:rsidRPr="00B262D9">
              <w:rPr>
                <w:rFonts w:ascii="Segoe UI" w:hAnsi="Segoe UI" w:cs="Segoe UI"/>
              </w:rPr>
              <w:t>:</w:t>
            </w:r>
            <w:r w:rsidR="002A7B79" w:rsidRPr="00B262D9">
              <w:rPr>
                <w:rFonts w:ascii="Segoe UI" w:hAnsi="Segoe UI" w:cs="Segoe UI"/>
              </w:rPr>
              <w:t xml:space="preserve"> £</w:t>
            </w:r>
            <w:r w:rsidR="00B96DC0" w:rsidRPr="00B262D9">
              <w:rPr>
                <w:rFonts w:ascii="Segoe UI" w:hAnsi="Segoe UI" w:cs="Segoe UI"/>
              </w:rPr>
              <w:t>3</w:t>
            </w:r>
            <w:r w:rsidR="00B96DC0">
              <w:rPr>
                <w:rFonts w:ascii="Segoe UI" w:hAnsi="Segoe UI" w:cs="Segoe UI"/>
              </w:rPr>
              <w:t>57</w:t>
            </w:r>
            <w:r w:rsidR="002A7B79" w:rsidRPr="00B262D9">
              <w:rPr>
                <w:rFonts w:ascii="Segoe UI" w:hAnsi="Segoe UI" w:cs="Segoe UI"/>
              </w:rPr>
              <w:t>,</w:t>
            </w:r>
            <w:r w:rsidR="00B96DC0">
              <w:rPr>
                <w:rFonts w:ascii="Segoe UI" w:hAnsi="Segoe UI" w:cs="Segoe UI"/>
              </w:rPr>
              <w:t>143</w:t>
            </w:r>
          </w:p>
          <w:p w14:paraId="040B23EB" w14:textId="2C5C663E" w:rsidR="002A7B79" w:rsidRPr="00B262D9" w:rsidRDefault="00A13DC1" w:rsidP="002A7B79">
            <w:pPr>
              <w:rPr>
                <w:rFonts w:ascii="Segoe UI" w:hAnsi="Segoe UI" w:cs="Segoe UI"/>
              </w:rPr>
            </w:pPr>
            <w:r w:rsidRPr="00B262D9">
              <w:rPr>
                <w:rFonts w:ascii="Segoe UI" w:hAnsi="Segoe UI" w:cs="Segoe UI"/>
              </w:rPr>
              <w:t>D</w:t>
            </w:r>
            <w:r w:rsidR="002A7B79" w:rsidRPr="00B262D9">
              <w:rPr>
                <w:rFonts w:ascii="Segoe UI" w:hAnsi="Segoe UI" w:cs="Segoe UI"/>
              </w:rPr>
              <w:t>iscount</w:t>
            </w:r>
            <w:r w:rsidRPr="00B262D9">
              <w:rPr>
                <w:rFonts w:ascii="Segoe UI" w:hAnsi="Segoe UI" w:cs="Segoe UI"/>
              </w:rPr>
              <w:t>:</w:t>
            </w:r>
            <w:r w:rsidR="002A7B79" w:rsidRPr="00B262D9">
              <w:rPr>
                <w:rFonts w:ascii="Segoe UI" w:hAnsi="Segoe UI" w:cs="Segoe UI"/>
              </w:rPr>
              <w:t xml:space="preserve"> 30%</w:t>
            </w:r>
            <w:r w:rsidR="00623E5F" w:rsidRPr="00B262D9">
              <w:rPr>
                <w:rFonts w:ascii="Segoe UI" w:hAnsi="Segoe UI" w:cs="Segoe UI"/>
              </w:rPr>
              <w:t xml:space="preserve"> (£</w:t>
            </w:r>
            <w:r w:rsidR="00AF7BAE">
              <w:rPr>
                <w:rFonts w:ascii="Segoe UI" w:hAnsi="Segoe UI" w:cs="Segoe UI"/>
              </w:rPr>
              <w:t>107</w:t>
            </w:r>
            <w:r w:rsidR="00623E5F" w:rsidRPr="00B262D9">
              <w:rPr>
                <w:rFonts w:ascii="Segoe UI" w:hAnsi="Segoe UI" w:cs="Segoe UI"/>
              </w:rPr>
              <w:t>,</w:t>
            </w:r>
            <w:r w:rsidR="00AF7BAE">
              <w:rPr>
                <w:rFonts w:ascii="Segoe UI" w:hAnsi="Segoe UI" w:cs="Segoe UI"/>
              </w:rPr>
              <w:t>142</w:t>
            </w:r>
            <w:r w:rsidR="00623E5F" w:rsidRPr="00B262D9">
              <w:rPr>
                <w:rFonts w:ascii="Segoe UI" w:hAnsi="Segoe UI" w:cs="Segoe UI"/>
              </w:rPr>
              <w:t>)</w:t>
            </w:r>
          </w:p>
          <w:p w14:paraId="1AEAABAA" w14:textId="6FCB34D5" w:rsidR="002A7B79" w:rsidRPr="00B262D9" w:rsidRDefault="00A13DC1" w:rsidP="002A7B79">
            <w:pPr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B</w:t>
            </w:r>
            <w:r w:rsidR="002A7B79" w:rsidRPr="00B262D9">
              <w:rPr>
                <w:rFonts w:ascii="Segoe UI" w:hAnsi="Segoe UI" w:cs="Segoe UI"/>
                <w:b/>
                <w:bCs/>
              </w:rPr>
              <w:t>uyer pays</w:t>
            </w:r>
            <w:r w:rsidRPr="00B262D9">
              <w:rPr>
                <w:rFonts w:ascii="Segoe UI" w:hAnsi="Segoe UI" w:cs="Segoe UI"/>
                <w:b/>
                <w:bCs/>
              </w:rPr>
              <w:t>:</w:t>
            </w:r>
            <w:r w:rsidR="002A7B79" w:rsidRPr="00B262D9">
              <w:rPr>
                <w:rFonts w:ascii="Segoe UI" w:hAnsi="Segoe UI" w:cs="Segoe UI"/>
                <w:b/>
                <w:bCs/>
              </w:rPr>
              <w:t xml:space="preserve"> £2</w:t>
            </w:r>
            <w:r w:rsidR="00A16182">
              <w:rPr>
                <w:rFonts w:ascii="Segoe UI" w:hAnsi="Segoe UI" w:cs="Segoe UI"/>
                <w:b/>
                <w:bCs/>
              </w:rPr>
              <w:t>50</w:t>
            </w:r>
            <w:r w:rsidR="002A7B79" w:rsidRPr="00B262D9">
              <w:rPr>
                <w:rFonts w:ascii="Segoe UI" w:hAnsi="Segoe UI" w:cs="Segoe UI"/>
                <w:b/>
                <w:bCs/>
              </w:rPr>
              <w:t>,000</w:t>
            </w:r>
          </w:p>
        </w:tc>
        <w:tc>
          <w:tcPr>
            <w:tcW w:w="4328" w:type="dxa"/>
          </w:tcPr>
          <w:p w14:paraId="64DBF3CE" w14:textId="14B016E0" w:rsidR="00500802" w:rsidRPr="00B262D9" w:rsidRDefault="00073752" w:rsidP="00124F08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876102" w:rsidRPr="00B262D9">
              <w:rPr>
                <w:rFonts w:ascii="Segoe UI" w:hAnsi="Segoe UI" w:cs="Segoe UI"/>
              </w:rPr>
              <w:t xml:space="preserve">arket </w:t>
            </w:r>
            <w:r w:rsidR="00876102">
              <w:rPr>
                <w:rFonts w:ascii="Segoe UI" w:hAnsi="Segoe UI" w:cs="Segoe UI"/>
              </w:rPr>
              <w:t>value</w:t>
            </w:r>
            <w:r w:rsidR="00682AF7" w:rsidRPr="00B262D9">
              <w:rPr>
                <w:rFonts w:ascii="Segoe UI" w:hAnsi="Segoe UI" w:cs="Segoe UI"/>
              </w:rPr>
              <w:t>:</w:t>
            </w:r>
            <w:r w:rsidR="002A7B79" w:rsidRPr="00B262D9">
              <w:rPr>
                <w:rFonts w:ascii="Segoe UI" w:hAnsi="Segoe UI" w:cs="Segoe UI"/>
              </w:rPr>
              <w:t xml:space="preserve"> £</w:t>
            </w:r>
            <w:r w:rsidR="00320670">
              <w:rPr>
                <w:rFonts w:ascii="Segoe UI" w:hAnsi="Segoe UI" w:cs="Segoe UI"/>
              </w:rPr>
              <w:t>40</w:t>
            </w:r>
            <w:r w:rsidR="002A7B79" w:rsidRPr="00B262D9">
              <w:rPr>
                <w:rFonts w:ascii="Segoe UI" w:hAnsi="Segoe UI" w:cs="Segoe UI"/>
              </w:rPr>
              <w:t>0</w:t>
            </w:r>
            <w:r w:rsidR="00682AF7" w:rsidRPr="00B262D9">
              <w:rPr>
                <w:rFonts w:ascii="Segoe UI" w:hAnsi="Segoe UI" w:cs="Segoe UI"/>
              </w:rPr>
              <w:t>,000</w:t>
            </w:r>
          </w:p>
          <w:p w14:paraId="6F07C59F" w14:textId="160E0A01" w:rsidR="00500802" w:rsidRPr="00B262D9" w:rsidRDefault="00500802" w:rsidP="00124F08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B262D9">
              <w:rPr>
                <w:rFonts w:ascii="Segoe UI" w:hAnsi="Segoe UI" w:cs="Segoe UI"/>
              </w:rPr>
              <w:t xml:space="preserve">Discount: </w:t>
            </w:r>
            <w:r w:rsidR="002A7B79" w:rsidRPr="00B262D9">
              <w:rPr>
                <w:rFonts w:ascii="Segoe UI" w:hAnsi="Segoe UI" w:cs="Segoe UI"/>
              </w:rPr>
              <w:t>30</w:t>
            </w:r>
            <w:r w:rsidRPr="00B262D9">
              <w:rPr>
                <w:rFonts w:ascii="Segoe UI" w:hAnsi="Segoe UI" w:cs="Segoe UI"/>
              </w:rPr>
              <w:t>%</w:t>
            </w:r>
            <w:r w:rsidR="00623E5F" w:rsidRPr="00B262D9">
              <w:rPr>
                <w:rFonts w:ascii="Segoe UI" w:hAnsi="Segoe UI" w:cs="Segoe UI"/>
              </w:rPr>
              <w:t xml:space="preserve"> (</w:t>
            </w:r>
            <w:r w:rsidR="004F3368" w:rsidRPr="00B262D9">
              <w:rPr>
                <w:rFonts w:ascii="Segoe UI" w:hAnsi="Segoe UI" w:cs="Segoe UI"/>
              </w:rPr>
              <w:t>£1</w:t>
            </w:r>
            <w:r w:rsidR="00320670">
              <w:rPr>
                <w:rFonts w:ascii="Segoe UI" w:hAnsi="Segoe UI" w:cs="Segoe UI"/>
              </w:rPr>
              <w:t>20</w:t>
            </w:r>
            <w:r w:rsidR="004F3368" w:rsidRPr="00B262D9">
              <w:rPr>
                <w:rFonts w:ascii="Segoe UI" w:hAnsi="Segoe UI" w:cs="Segoe UI"/>
              </w:rPr>
              <w:t>,000)</w:t>
            </w:r>
          </w:p>
          <w:p w14:paraId="37C84976" w14:textId="4651F07D" w:rsidR="002A7B79" w:rsidRPr="00B262D9" w:rsidRDefault="00500802" w:rsidP="00124F08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 xml:space="preserve">New buyer pays: </w:t>
            </w:r>
            <w:r w:rsidR="002A7B79" w:rsidRPr="00B262D9">
              <w:rPr>
                <w:rFonts w:ascii="Segoe UI" w:hAnsi="Segoe UI" w:cs="Segoe UI"/>
                <w:b/>
                <w:bCs/>
              </w:rPr>
              <w:t>£2</w:t>
            </w:r>
            <w:r w:rsidR="00DB682C">
              <w:rPr>
                <w:rFonts w:ascii="Segoe UI" w:hAnsi="Segoe UI" w:cs="Segoe UI"/>
                <w:b/>
                <w:bCs/>
              </w:rPr>
              <w:t>80</w:t>
            </w:r>
            <w:r w:rsidRPr="00B262D9">
              <w:rPr>
                <w:rFonts w:ascii="Segoe UI" w:hAnsi="Segoe UI" w:cs="Segoe UI"/>
                <w:b/>
                <w:bCs/>
              </w:rPr>
              <w:t>,000</w:t>
            </w:r>
          </w:p>
        </w:tc>
      </w:tr>
    </w:tbl>
    <w:p w14:paraId="4506B23E" w14:textId="5DFBFDCB" w:rsidR="002A7B79" w:rsidRDefault="002A7B79" w:rsidP="00C41888">
      <w:pPr>
        <w:pStyle w:val="ListParagraph"/>
        <w:ind w:left="360"/>
        <w:rPr>
          <w:rFonts w:ascii="Segoe UI" w:hAnsi="Segoe UI" w:cs="Segoe UI"/>
        </w:rPr>
      </w:pPr>
    </w:p>
    <w:p w14:paraId="27442CA4" w14:textId="580C3C40" w:rsidR="00C51CF3" w:rsidRDefault="00C51CF3" w:rsidP="00C51CF3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195F35">
        <w:rPr>
          <w:rFonts w:ascii="Segoe UI" w:hAnsi="Segoe UI" w:cs="Segoe UI"/>
        </w:rPr>
        <w:t xml:space="preserve">discount is applicable for the </w:t>
      </w:r>
      <w:r w:rsidRPr="00C551B9">
        <w:rPr>
          <w:rFonts w:ascii="Segoe UI" w:hAnsi="Segoe UI" w:cs="Segoe UI"/>
        </w:rPr>
        <w:t>first six months from marketing</w:t>
      </w:r>
      <w:r>
        <w:rPr>
          <w:rFonts w:ascii="Segoe UI" w:hAnsi="Segoe UI" w:cs="Segoe UI"/>
          <w:b/>
          <w:bCs/>
        </w:rPr>
        <w:t xml:space="preserve"> </w:t>
      </w:r>
      <w:r w:rsidR="00E0406F" w:rsidRPr="00C551B9">
        <w:rPr>
          <w:rFonts w:ascii="Segoe UI" w:hAnsi="Segoe UI" w:cs="Segoe UI"/>
        </w:rPr>
        <w:t>by the builder</w:t>
      </w:r>
      <w:r w:rsidR="00E0406F">
        <w:rPr>
          <w:rFonts w:ascii="Segoe UI" w:hAnsi="Segoe UI" w:cs="Segoe UI"/>
        </w:rPr>
        <w:t xml:space="preserve"> or listed ‘for sale’ by the </w:t>
      </w:r>
      <w:r w:rsidR="00E31C56">
        <w:rPr>
          <w:rFonts w:ascii="Segoe UI" w:hAnsi="Segoe UI" w:cs="Segoe UI"/>
        </w:rPr>
        <w:t>seller</w:t>
      </w:r>
      <w:r w:rsidR="00E264F6">
        <w:rPr>
          <w:rFonts w:ascii="Segoe UI" w:hAnsi="Segoe UI" w:cs="Segoe UI"/>
        </w:rPr>
        <w:t xml:space="preserve"> during a re-sale.</w:t>
      </w:r>
      <w:r w:rsidR="0005134F">
        <w:rPr>
          <w:rFonts w:ascii="Segoe UI" w:hAnsi="Segoe UI" w:cs="Segoe UI"/>
        </w:rPr>
        <w:t xml:space="preserve"> Both the builder and seller must notify the local authority with evidence of marketing or enlistment through an estate agent.</w:t>
      </w:r>
    </w:p>
    <w:p w14:paraId="76F792EF" w14:textId="59E3AC3C" w:rsidR="00E31C56" w:rsidRPr="00C551B9" w:rsidRDefault="00E31C56" w:rsidP="00C551B9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the event of the property remaining unsold</w:t>
      </w:r>
      <w:r w:rsidR="001473C9">
        <w:rPr>
          <w:rFonts w:ascii="Segoe UI" w:hAnsi="Segoe UI" w:cs="Segoe UI"/>
        </w:rPr>
        <w:t xml:space="preserve"> in the first six months from marketing</w:t>
      </w:r>
      <w:r w:rsidR="00905AD4">
        <w:rPr>
          <w:rFonts w:ascii="Segoe UI" w:hAnsi="Segoe UI" w:cs="Segoe UI"/>
        </w:rPr>
        <w:t xml:space="preserve">, the </w:t>
      </w:r>
      <w:r w:rsidR="00763866">
        <w:rPr>
          <w:rFonts w:ascii="Segoe UI" w:hAnsi="Segoe UI" w:cs="Segoe UI"/>
        </w:rPr>
        <w:t xml:space="preserve">seller can </w:t>
      </w:r>
      <w:r w:rsidR="00B5677E">
        <w:rPr>
          <w:rFonts w:ascii="Segoe UI" w:hAnsi="Segoe UI" w:cs="Segoe UI"/>
        </w:rPr>
        <w:t xml:space="preserve">apply to their local authority </w:t>
      </w:r>
      <w:r w:rsidR="00145340">
        <w:rPr>
          <w:rFonts w:ascii="Segoe UI" w:hAnsi="Segoe UI" w:cs="Segoe UI"/>
        </w:rPr>
        <w:t xml:space="preserve">to sell </w:t>
      </w:r>
      <w:r w:rsidR="00053E35">
        <w:rPr>
          <w:rFonts w:ascii="Segoe UI" w:hAnsi="Segoe UI" w:cs="Segoe UI"/>
        </w:rPr>
        <w:t xml:space="preserve">the unit </w:t>
      </w:r>
      <w:r w:rsidR="00905AD4">
        <w:rPr>
          <w:rFonts w:ascii="Segoe UI" w:hAnsi="Segoe UI" w:cs="Segoe UI"/>
        </w:rPr>
        <w:t>at market value.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870CB" w:rsidRPr="00B262D9" w14:paraId="2B5AFA9B" w14:textId="77777777" w:rsidTr="005E3548">
        <w:tc>
          <w:tcPr>
            <w:tcW w:w="8656" w:type="dxa"/>
            <w:gridSpan w:val="2"/>
          </w:tcPr>
          <w:p w14:paraId="1C48AE7F" w14:textId="6FD135E0" w:rsidR="002870CB" w:rsidRPr="00B262D9" w:rsidRDefault="002870CB" w:rsidP="005E3548">
            <w:pPr>
              <w:spacing w:line="360" w:lineRule="auto"/>
              <w:rPr>
                <w:rFonts w:ascii="Segoe UI" w:hAnsi="Segoe UI" w:cs="Segoe UI"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Example</w:t>
            </w:r>
            <w:r>
              <w:rPr>
                <w:rFonts w:ascii="Segoe UI" w:hAnsi="Segoe UI" w:cs="Segoe UI"/>
                <w:b/>
                <w:bCs/>
              </w:rPr>
              <w:t xml:space="preserve"> based on property outside London (</w:t>
            </w:r>
            <w:r w:rsidR="00641A2A">
              <w:rPr>
                <w:rFonts w:ascii="Segoe UI" w:hAnsi="Segoe UI" w:cs="Segoe UI"/>
                <w:b/>
                <w:bCs/>
              </w:rPr>
              <w:t>if unsold)</w:t>
            </w:r>
          </w:p>
        </w:tc>
      </w:tr>
      <w:tr w:rsidR="008F6016" w:rsidRPr="00B262D9" w14:paraId="47E33400" w14:textId="77777777" w:rsidTr="005E3548">
        <w:tc>
          <w:tcPr>
            <w:tcW w:w="4328" w:type="dxa"/>
          </w:tcPr>
          <w:p w14:paraId="5C4CD630" w14:textId="34700987" w:rsidR="008F6016" w:rsidRPr="00B262D9" w:rsidRDefault="008F6016" w:rsidP="008F60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Initial sale</w:t>
            </w:r>
            <w:r>
              <w:rPr>
                <w:rFonts w:ascii="Segoe UI" w:hAnsi="Segoe UI" w:cs="Segoe UI"/>
                <w:b/>
                <w:bCs/>
              </w:rPr>
              <w:t xml:space="preserve"> by a builder</w:t>
            </w:r>
          </w:p>
        </w:tc>
        <w:tc>
          <w:tcPr>
            <w:tcW w:w="4328" w:type="dxa"/>
          </w:tcPr>
          <w:p w14:paraId="0AC1CD07" w14:textId="77DE2F3F" w:rsidR="008F6016" w:rsidRPr="00B262D9" w:rsidRDefault="008F6016" w:rsidP="008F6016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At r</w:t>
            </w:r>
            <w:r w:rsidRPr="00B262D9">
              <w:rPr>
                <w:rFonts w:ascii="Segoe UI" w:hAnsi="Segoe UI" w:cs="Segoe UI"/>
                <w:b/>
                <w:bCs/>
              </w:rPr>
              <w:t>e-sale</w:t>
            </w:r>
          </w:p>
        </w:tc>
      </w:tr>
      <w:tr w:rsidR="002870CB" w:rsidRPr="00B262D9" w14:paraId="15D3D2B5" w14:textId="77777777" w:rsidTr="005E3548">
        <w:tc>
          <w:tcPr>
            <w:tcW w:w="4328" w:type="dxa"/>
          </w:tcPr>
          <w:p w14:paraId="724EAF26" w14:textId="053F6C95" w:rsidR="002870CB" w:rsidRPr="00B262D9" w:rsidRDefault="00073752" w:rsidP="005E354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2870CB" w:rsidRPr="00B262D9">
              <w:rPr>
                <w:rFonts w:ascii="Segoe UI" w:hAnsi="Segoe UI" w:cs="Segoe UI"/>
              </w:rPr>
              <w:t xml:space="preserve">arket </w:t>
            </w:r>
            <w:r w:rsidR="002870CB">
              <w:rPr>
                <w:rFonts w:ascii="Segoe UI" w:hAnsi="Segoe UI" w:cs="Segoe UI"/>
              </w:rPr>
              <w:t>value</w:t>
            </w:r>
            <w:r w:rsidR="002870CB" w:rsidRPr="00B262D9">
              <w:rPr>
                <w:rFonts w:ascii="Segoe UI" w:hAnsi="Segoe UI" w:cs="Segoe UI"/>
              </w:rPr>
              <w:t>: £3</w:t>
            </w:r>
            <w:r w:rsidR="002870CB">
              <w:rPr>
                <w:rFonts w:ascii="Segoe UI" w:hAnsi="Segoe UI" w:cs="Segoe UI"/>
              </w:rPr>
              <w:t>57</w:t>
            </w:r>
            <w:r w:rsidR="002870CB" w:rsidRPr="00B262D9">
              <w:rPr>
                <w:rFonts w:ascii="Segoe UI" w:hAnsi="Segoe UI" w:cs="Segoe UI"/>
              </w:rPr>
              <w:t>,</w:t>
            </w:r>
            <w:r w:rsidR="002870CB">
              <w:rPr>
                <w:rFonts w:ascii="Segoe UI" w:hAnsi="Segoe UI" w:cs="Segoe UI"/>
              </w:rPr>
              <w:t>143</w:t>
            </w:r>
          </w:p>
          <w:p w14:paraId="204F4344" w14:textId="4B4279D8" w:rsidR="002870CB" w:rsidRPr="00B262D9" w:rsidRDefault="002870CB" w:rsidP="005E3548">
            <w:pPr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Buyer pays: £</w:t>
            </w:r>
            <w:r w:rsidR="00E31C56" w:rsidRPr="00E31C56">
              <w:rPr>
                <w:rFonts w:ascii="Segoe UI" w:hAnsi="Segoe UI" w:cs="Segoe UI"/>
                <w:b/>
                <w:bCs/>
              </w:rPr>
              <w:t>357,143</w:t>
            </w:r>
          </w:p>
        </w:tc>
        <w:tc>
          <w:tcPr>
            <w:tcW w:w="4328" w:type="dxa"/>
          </w:tcPr>
          <w:p w14:paraId="1BD440CD" w14:textId="77777777" w:rsidR="002870CB" w:rsidRPr="00B262D9" w:rsidRDefault="002870CB" w:rsidP="005E3548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B262D9">
              <w:rPr>
                <w:rFonts w:ascii="Segoe UI" w:hAnsi="Segoe UI" w:cs="Segoe UI"/>
              </w:rPr>
              <w:t xml:space="preserve">New </w:t>
            </w:r>
            <w:r>
              <w:rPr>
                <w:rFonts w:ascii="Segoe UI" w:hAnsi="Segoe UI" w:cs="Segoe UI"/>
              </w:rPr>
              <w:t>m</w:t>
            </w:r>
            <w:r w:rsidRPr="00B262D9">
              <w:rPr>
                <w:rFonts w:ascii="Segoe UI" w:hAnsi="Segoe UI" w:cs="Segoe UI"/>
              </w:rPr>
              <w:t xml:space="preserve">arket </w:t>
            </w:r>
            <w:r>
              <w:rPr>
                <w:rFonts w:ascii="Segoe UI" w:hAnsi="Segoe UI" w:cs="Segoe UI"/>
              </w:rPr>
              <w:t>value</w:t>
            </w:r>
            <w:r w:rsidRPr="00B262D9">
              <w:rPr>
                <w:rFonts w:ascii="Segoe UI" w:hAnsi="Segoe UI" w:cs="Segoe UI"/>
              </w:rPr>
              <w:t>: £</w:t>
            </w:r>
            <w:r>
              <w:rPr>
                <w:rFonts w:ascii="Segoe UI" w:hAnsi="Segoe UI" w:cs="Segoe UI"/>
              </w:rPr>
              <w:t>40</w:t>
            </w:r>
            <w:r w:rsidRPr="00B262D9">
              <w:rPr>
                <w:rFonts w:ascii="Segoe UI" w:hAnsi="Segoe UI" w:cs="Segoe UI"/>
              </w:rPr>
              <w:t>0,000</w:t>
            </w:r>
          </w:p>
          <w:p w14:paraId="3B1AFFCB" w14:textId="46F18B73" w:rsidR="002870CB" w:rsidRPr="00B262D9" w:rsidRDefault="002870CB" w:rsidP="005E3548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B262D9">
              <w:rPr>
                <w:rFonts w:ascii="Segoe UI" w:hAnsi="Segoe UI" w:cs="Segoe UI"/>
                <w:b/>
                <w:bCs/>
              </w:rPr>
              <w:t>New buyer pays: £</w:t>
            </w:r>
            <w:r w:rsidR="00E31C56">
              <w:rPr>
                <w:rFonts w:ascii="Segoe UI" w:hAnsi="Segoe UI" w:cs="Segoe UI"/>
              </w:rPr>
              <w:t>40</w:t>
            </w:r>
            <w:r w:rsidR="00E31C56" w:rsidRPr="00B262D9">
              <w:rPr>
                <w:rFonts w:ascii="Segoe UI" w:hAnsi="Segoe UI" w:cs="Segoe UI"/>
              </w:rPr>
              <w:t>0,000</w:t>
            </w:r>
          </w:p>
        </w:tc>
      </w:tr>
    </w:tbl>
    <w:p w14:paraId="75AD815C" w14:textId="77777777" w:rsidR="002870CB" w:rsidRDefault="002870CB" w:rsidP="00C551B9">
      <w:pPr>
        <w:pStyle w:val="ListParagraph"/>
        <w:ind w:left="360"/>
        <w:rPr>
          <w:rFonts w:ascii="Segoe UI" w:hAnsi="Segoe UI" w:cs="Segoe UI"/>
        </w:rPr>
      </w:pPr>
    </w:p>
    <w:p w14:paraId="4E23620B" w14:textId="19AB9234" w:rsidR="002D61BF" w:rsidRDefault="00641929" w:rsidP="000302B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 xml:space="preserve">RICS members </w:t>
      </w:r>
      <w:r w:rsidR="00B01DDD" w:rsidRPr="00B262D9">
        <w:rPr>
          <w:rFonts w:ascii="Segoe UI" w:hAnsi="Segoe UI" w:cs="Segoe UI"/>
        </w:rPr>
        <w:t xml:space="preserve">should carefully consider the incentives offered by the seller as outlined in the </w:t>
      </w:r>
      <w:r w:rsidR="001E3D3E">
        <w:rPr>
          <w:rFonts w:ascii="Segoe UI" w:hAnsi="Segoe UI" w:cs="Segoe UI"/>
        </w:rPr>
        <w:t xml:space="preserve">latest </w:t>
      </w:r>
      <w:r w:rsidR="00F667FA">
        <w:rPr>
          <w:rFonts w:ascii="Segoe UI" w:hAnsi="Segoe UI" w:cs="Segoe UI"/>
        </w:rPr>
        <w:t xml:space="preserve">RICS </w:t>
      </w:r>
      <w:r w:rsidR="001E3D3E">
        <w:rPr>
          <w:rFonts w:ascii="Segoe UI" w:hAnsi="Segoe UI" w:cs="Segoe UI"/>
        </w:rPr>
        <w:t>‘</w:t>
      </w:r>
      <w:hyperlink r:id="rId14" w:history="1">
        <w:r w:rsidR="00F667FA" w:rsidRPr="00901AFF">
          <w:rPr>
            <w:rStyle w:val="Hyperlink"/>
            <w:rFonts w:ascii="Segoe UI" w:hAnsi="Segoe UI" w:cs="Segoe UI"/>
            <w:i/>
            <w:iCs/>
          </w:rPr>
          <w:t>Valuation of individual newbuild homes’</w:t>
        </w:r>
      </w:hyperlink>
      <w:r w:rsidR="00F667FA" w:rsidRPr="00617705">
        <w:rPr>
          <w:rFonts w:ascii="Segoe UI" w:hAnsi="Segoe UI" w:cs="Segoe UI"/>
          <w:i/>
          <w:iCs/>
        </w:rPr>
        <w:t xml:space="preserve">, </w:t>
      </w:r>
      <w:r w:rsidR="00F667FA">
        <w:rPr>
          <w:rFonts w:ascii="Segoe UI" w:hAnsi="Segoe UI" w:cs="Segoe UI"/>
        </w:rPr>
        <w:t xml:space="preserve">guidance </w:t>
      </w:r>
      <w:r w:rsidR="00C551B9">
        <w:rPr>
          <w:rFonts w:ascii="Segoe UI" w:hAnsi="Segoe UI" w:cs="Segoe UI"/>
        </w:rPr>
        <w:t>note,</w:t>
      </w:r>
      <w:r w:rsidR="00F667FA">
        <w:rPr>
          <w:rFonts w:ascii="Segoe UI" w:hAnsi="Segoe UI" w:cs="Segoe UI"/>
        </w:rPr>
        <w:t xml:space="preserve"> and the</w:t>
      </w:r>
      <w:r w:rsidR="00F667FA" w:rsidRPr="00F667FA">
        <w:rPr>
          <w:rFonts w:ascii="Segoe UI" w:hAnsi="Segoe UI" w:cs="Segoe UI"/>
        </w:rPr>
        <w:t xml:space="preserve"> </w:t>
      </w:r>
      <w:r w:rsidR="00183EFF" w:rsidRPr="00B262D9">
        <w:rPr>
          <w:rFonts w:ascii="Segoe UI" w:hAnsi="Segoe UI" w:cs="Segoe UI"/>
        </w:rPr>
        <w:t>UK</w:t>
      </w:r>
      <w:r w:rsidR="000302B7" w:rsidRPr="00B262D9">
        <w:rPr>
          <w:rFonts w:ascii="Segoe UI" w:hAnsi="Segoe UI" w:cs="Segoe UI"/>
        </w:rPr>
        <w:t xml:space="preserve"> </w:t>
      </w:r>
      <w:r w:rsidR="00183EFF" w:rsidRPr="00B262D9">
        <w:rPr>
          <w:rFonts w:ascii="Segoe UI" w:hAnsi="Segoe UI" w:cs="Segoe UI"/>
        </w:rPr>
        <w:t xml:space="preserve">finance disclosure of incentives form </w:t>
      </w:r>
      <w:r w:rsidR="000302B7" w:rsidRPr="00B262D9">
        <w:rPr>
          <w:rFonts w:ascii="Segoe UI" w:hAnsi="Segoe UI" w:cs="Segoe UI"/>
        </w:rPr>
        <w:t xml:space="preserve">during a </w:t>
      </w:r>
      <w:r w:rsidR="00183EFF" w:rsidRPr="00B262D9">
        <w:rPr>
          <w:rFonts w:ascii="Segoe UI" w:hAnsi="Segoe UI" w:cs="Segoe UI"/>
        </w:rPr>
        <w:t>first sale.</w:t>
      </w:r>
      <w:r w:rsidR="000302B7" w:rsidRPr="00B262D9">
        <w:rPr>
          <w:rFonts w:ascii="Segoe UI" w:hAnsi="Segoe UI" w:cs="Segoe UI"/>
        </w:rPr>
        <w:t xml:space="preserve"> They are</w:t>
      </w:r>
      <w:r w:rsidR="004D0DCC" w:rsidRPr="00B262D9">
        <w:rPr>
          <w:rFonts w:ascii="Segoe UI" w:hAnsi="Segoe UI" w:cs="Segoe UI"/>
        </w:rPr>
        <w:t xml:space="preserve"> also</w:t>
      </w:r>
      <w:r w:rsidR="000302B7" w:rsidRPr="00B262D9">
        <w:rPr>
          <w:rFonts w:ascii="Segoe UI" w:hAnsi="Segoe UI" w:cs="Segoe UI"/>
        </w:rPr>
        <w:t xml:space="preserve"> </w:t>
      </w:r>
      <w:r w:rsidR="0069356D" w:rsidRPr="00B262D9">
        <w:rPr>
          <w:rFonts w:ascii="Segoe UI" w:hAnsi="Segoe UI" w:cs="Segoe UI"/>
        </w:rPr>
        <w:t xml:space="preserve">encouraged to thoroughly review the incentives offered on other new build </w:t>
      </w:r>
      <w:r w:rsidR="00B67713" w:rsidRPr="00B262D9">
        <w:rPr>
          <w:rFonts w:ascii="Segoe UI" w:hAnsi="Segoe UI" w:cs="Segoe UI"/>
        </w:rPr>
        <w:t>properties</w:t>
      </w:r>
      <w:r w:rsidR="0069356D" w:rsidRPr="00B262D9">
        <w:rPr>
          <w:rFonts w:ascii="Segoe UI" w:hAnsi="Segoe UI" w:cs="Segoe UI"/>
        </w:rPr>
        <w:t xml:space="preserve"> </w:t>
      </w:r>
      <w:r w:rsidR="005B4DFC" w:rsidRPr="00B262D9">
        <w:rPr>
          <w:rFonts w:ascii="Segoe UI" w:hAnsi="Segoe UI" w:cs="Segoe UI"/>
        </w:rPr>
        <w:t>i</w:t>
      </w:r>
      <w:r w:rsidR="0069356D" w:rsidRPr="00B262D9">
        <w:rPr>
          <w:rFonts w:ascii="Segoe UI" w:hAnsi="Segoe UI" w:cs="Segoe UI"/>
        </w:rPr>
        <w:t xml:space="preserve">n the </w:t>
      </w:r>
      <w:r w:rsidR="00905221" w:rsidRPr="00B262D9">
        <w:rPr>
          <w:rFonts w:ascii="Segoe UI" w:hAnsi="Segoe UI" w:cs="Segoe UI"/>
        </w:rPr>
        <w:t xml:space="preserve">permitted planning area </w:t>
      </w:r>
      <w:r w:rsidR="0069356D" w:rsidRPr="00B262D9">
        <w:rPr>
          <w:rFonts w:ascii="Segoe UI" w:hAnsi="Segoe UI" w:cs="Segoe UI"/>
        </w:rPr>
        <w:t>and include their details in the list of comparable properties</w:t>
      </w:r>
      <w:r w:rsidR="000A4016" w:rsidRPr="00B262D9">
        <w:rPr>
          <w:rFonts w:ascii="Segoe UI" w:hAnsi="Segoe UI" w:cs="Segoe UI"/>
        </w:rPr>
        <w:t>.</w:t>
      </w:r>
      <w:r w:rsidR="001657D4" w:rsidRPr="00B262D9">
        <w:rPr>
          <w:rStyle w:val="FootnoteReference"/>
          <w:rFonts w:ascii="Segoe UI" w:hAnsi="Segoe UI" w:cs="Segoe UI"/>
        </w:rPr>
        <w:footnoteReference w:id="5"/>
      </w:r>
      <w:r w:rsidR="0069356D" w:rsidRPr="00B262D9">
        <w:rPr>
          <w:rFonts w:ascii="Segoe UI" w:hAnsi="Segoe UI" w:cs="Segoe UI"/>
        </w:rPr>
        <w:t xml:space="preserve"> </w:t>
      </w:r>
    </w:p>
    <w:p w14:paraId="3E4A9C0A" w14:textId="27965ABA" w:rsidR="00905221" w:rsidRPr="00B262D9" w:rsidRDefault="00556E7F" w:rsidP="000302B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 xml:space="preserve">The </w:t>
      </w:r>
      <w:r w:rsidR="004F21A0" w:rsidRPr="00B262D9">
        <w:rPr>
          <w:rFonts w:ascii="Segoe UI" w:hAnsi="Segoe UI" w:cs="Segoe UI"/>
        </w:rPr>
        <w:t>objective is to avoid the possibility of First Homes valuations being influenced by incentives</w:t>
      </w:r>
      <w:r w:rsidR="00430F5D" w:rsidRPr="00B262D9">
        <w:rPr>
          <w:rFonts w:ascii="Segoe UI" w:hAnsi="Segoe UI" w:cs="Segoe UI"/>
        </w:rPr>
        <w:t xml:space="preserve"> (or any other relevant factors) that might affect the price of comparable properties, but which are not </w:t>
      </w:r>
      <w:r w:rsidR="004D0DCC" w:rsidRPr="00B262D9">
        <w:rPr>
          <w:rFonts w:ascii="Segoe UI" w:hAnsi="Segoe UI" w:cs="Segoe UI"/>
        </w:rPr>
        <w:t>relevant to the First Home itself.</w:t>
      </w:r>
    </w:p>
    <w:p w14:paraId="4EB4574F" w14:textId="4E99C4C7" w:rsidR="00095DAB" w:rsidRPr="00073752" w:rsidRDefault="006F6D30" w:rsidP="0007375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262D9">
        <w:rPr>
          <w:rFonts w:ascii="Segoe UI" w:hAnsi="Segoe UI" w:cs="Segoe UI"/>
        </w:rPr>
        <w:t>The discount will not extend to ground rent or service charge</w:t>
      </w:r>
      <w:r w:rsidR="00B9344A" w:rsidRPr="00B262D9">
        <w:rPr>
          <w:rFonts w:ascii="Segoe UI" w:hAnsi="Segoe UI" w:cs="Segoe UI"/>
        </w:rPr>
        <w:t>s</w:t>
      </w:r>
      <w:r w:rsidRPr="00B262D9">
        <w:rPr>
          <w:rFonts w:ascii="Segoe UI" w:hAnsi="Segoe UI" w:cs="Segoe UI"/>
        </w:rPr>
        <w:t xml:space="preserve"> for leasehold properties.</w:t>
      </w:r>
    </w:p>
    <w:sectPr w:rsidR="00095DAB" w:rsidRPr="0007375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9538" w14:textId="77777777" w:rsidR="001E4BC9" w:rsidRDefault="001E4BC9" w:rsidP="002C55DC">
      <w:pPr>
        <w:spacing w:after="0" w:line="240" w:lineRule="auto"/>
      </w:pPr>
      <w:r>
        <w:separator/>
      </w:r>
    </w:p>
  </w:endnote>
  <w:endnote w:type="continuationSeparator" w:id="0">
    <w:p w14:paraId="4BC2D6E5" w14:textId="77777777" w:rsidR="001E4BC9" w:rsidRDefault="001E4BC9" w:rsidP="002C55DC">
      <w:pPr>
        <w:spacing w:after="0" w:line="240" w:lineRule="auto"/>
      </w:pPr>
      <w:r>
        <w:continuationSeparator/>
      </w:r>
    </w:p>
  </w:endnote>
  <w:endnote w:type="continuationNotice" w:id="1">
    <w:p w14:paraId="7AC9BB38" w14:textId="77777777" w:rsidR="001E4BC9" w:rsidRDefault="001E4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038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1DE40" w14:textId="2A70AB63" w:rsidR="00305281" w:rsidRDefault="00305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9966F" w14:textId="77777777" w:rsidR="00305281" w:rsidRDefault="0030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3A7F" w14:textId="77777777" w:rsidR="001E4BC9" w:rsidRDefault="001E4BC9" w:rsidP="002C55DC">
      <w:pPr>
        <w:spacing w:after="0" w:line="240" w:lineRule="auto"/>
      </w:pPr>
      <w:r>
        <w:separator/>
      </w:r>
    </w:p>
  </w:footnote>
  <w:footnote w:type="continuationSeparator" w:id="0">
    <w:p w14:paraId="00713B78" w14:textId="77777777" w:rsidR="001E4BC9" w:rsidRDefault="001E4BC9" w:rsidP="002C55DC">
      <w:pPr>
        <w:spacing w:after="0" w:line="240" w:lineRule="auto"/>
      </w:pPr>
      <w:r>
        <w:continuationSeparator/>
      </w:r>
    </w:p>
  </w:footnote>
  <w:footnote w:type="continuationNotice" w:id="1">
    <w:p w14:paraId="76D6D60A" w14:textId="77777777" w:rsidR="001E4BC9" w:rsidRDefault="001E4BC9">
      <w:pPr>
        <w:spacing w:after="0" w:line="240" w:lineRule="auto"/>
      </w:pPr>
    </w:p>
  </w:footnote>
  <w:footnote w:id="2">
    <w:p w14:paraId="2986B214" w14:textId="322F104E" w:rsidR="008F2489" w:rsidRPr="001F4511" w:rsidRDefault="008F248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F4511">
        <w:rPr>
          <w:sz w:val="16"/>
          <w:szCs w:val="16"/>
        </w:rPr>
        <w:t xml:space="preserve">More information </w:t>
      </w:r>
      <w:r w:rsidR="001F4511">
        <w:rPr>
          <w:sz w:val="16"/>
          <w:szCs w:val="16"/>
        </w:rPr>
        <w:t xml:space="preserve">can be found </w:t>
      </w:r>
      <w:r w:rsidR="000407A6">
        <w:rPr>
          <w:sz w:val="16"/>
          <w:szCs w:val="16"/>
        </w:rPr>
        <w:t xml:space="preserve">on </w:t>
      </w:r>
      <w:r w:rsidR="001F4511" w:rsidRPr="001F4511">
        <w:rPr>
          <w:sz w:val="16"/>
          <w:szCs w:val="16"/>
        </w:rPr>
        <w:t>www.ownyourhome.gov.uk/scheme/first-homes</w:t>
      </w:r>
    </w:p>
  </w:footnote>
  <w:footnote w:id="3">
    <w:p w14:paraId="3EC0840F" w14:textId="3ED26F1E" w:rsidR="00120C2D" w:rsidRPr="0005372F" w:rsidRDefault="00120C2D" w:rsidP="0005372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03725A">
        <w:rPr>
          <w:sz w:val="16"/>
          <w:szCs w:val="16"/>
        </w:rPr>
        <w:t>A</w:t>
      </w:r>
      <w:r w:rsidR="0005372F" w:rsidRPr="0005372F">
        <w:rPr>
          <w:sz w:val="16"/>
          <w:szCs w:val="16"/>
        </w:rPr>
        <w:t>s defined by the Office for National</w:t>
      </w:r>
      <w:r w:rsidR="0005372F">
        <w:rPr>
          <w:sz w:val="16"/>
          <w:szCs w:val="16"/>
        </w:rPr>
        <w:t xml:space="preserve"> </w:t>
      </w:r>
      <w:r w:rsidR="003D72EE">
        <w:rPr>
          <w:sz w:val="16"/>
          <w:szCs w:val="16"/>
        </w:rPr>
        <w:t xml:space="preserve">Statistics </w:t>
      </w:r>
      <w:r w:rsidR="0005372F">
        <w:rPr>
          <w:sz w:val="16"/>
          <w:szCs w:val="16"/>
        </w:rPr>
        <w:t xml:space="preserve">containing </w:t>
      </w:r>
      <w:hyperlink r:id="rId1" w:anchor="greater-london-and-the-london-boroughs" w:history="1">
        <w:r w:rsidR="0005372F" w:rsidRPr="002303C9">
          <w:rPr>
            <w:rStyle w:val="Hyperlink"/>
            <w:sz w:val="16"/>
            <w:szCs w:val="16"/>
          </w:rPr>
          <w:t xml:space="preserve">32 </w:t>
        </w:r>
        <w:r w:rsidR="0003725A" w:rsidRPr="002303C9">
          <w:rPr>
            <w:rStyle w:val="Hyperlink"/>
            <w:sz w:val="16"/>
            <w:szCs w:val="16"/>
          </w:rPr>
          <w:t>London Boroughs</w:t>
        </w:r>
      </w:hyperlink>
      <w:r w:rsidR="0003725A">
        <w:rPr>
          <w:sz w:val="16"/>
          <w:szCs w:val="16"/>
        </w:rPr>
        <w:t>.</w:t>
      </w:r>
    </w:p>
  </w:footnote>
  <w:footnote w:id="4">
    <w:p w14:paraId="0A7EBAEA" w14:textId="5BEB1F06" w:rsidR="002C55DC" w:rsidRDefault="002C55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691E">
        <w:rPr>
          <w:sz w:val="16"/>
          <w:szCs w:val="16"/>
        </w:rPr>
        <w:t>A</w:t>
      </w:r>
      <w:r w:rsidR="0020642D" w:rsidRPr="0020642D">
        <w:rPr>
          <w:sz w:val="16"/>
          <w:szCs w:val="16"/>
        </w:rPr>
        <w:t xml:space="preserve">s defined by paragraph 6 of Schedule 6ZA to the </w:t>
      </w:r>
      <w:hyperlink r:id="rId2" w:history="1">
        <w:r w:rsidR="0020642D" w:rsidRPr="007118E7">
          <w:rPr>
            <w:rStyle w:val="Hyperlink"/>
            <w:sz w:val="16"/>
            <w:szCs w:val="16"/>
          </w:rPr>
          <w:t>Finance Act 2003</w:t>
        </w:r>
      </w:hyperlink>
      <w:r w:rsidR="007118E7">
        <w:rPr>
          <w:sz w:val="16"/>
          <w:szCs w:val="16"/>
        </w:rPr>
        <w:t xml:space="preserve"> </w:t>
      </w:r>
      <w:r w:rsidR="00D66BE9">
        <w:rPr>
          <w:sz w:val="16"/>
          <w:szCs w:val="16"/>
        </w:rPr>
        <w:t>(</w:t>
      </w:r>
      <w:r w:rsidRPr="002C55DC">
        <w:rPr>
          <w:sz w:val="16"/>
          <w:szCs w:val="16"/>
        </w:rPr>
        <w:t>A first-time buyer is defined as an individual or individuals who have never owned an interest in a residential property in the United Kingdom or anywhere else in the world and who intends to occupy the property as their main residence</w:t>
      </w:r>
      <w:r w:rsidR="00D66BE9">
        <w:rPr>
          <w:sz w:val="16"/>
          <w:szCs w:val="16"/>
        </w:rPr>
        <w:t>)</w:t>
      </w:r>
    </w:p>
  </w:footnote>
  <w:footnote w:id="5">
    <w:p w14:paraId="32ADA363" w14:textId="1CC48FD8" w:rsidR="001657D4" w:rsidRDefault="001657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4811" w:rsidRPr="005A4811">
        <w:rPr>
          <w:sz w:val="16"/>
          <w:szCs w:val="16"/>
        </w:rPr>
        <w:t xml:space="preserve">See </w:t>
      </w:r>
      <w:r w:rsidR="00693F58">
        <w:rPr>
          <w:sz w:val="16"/>
          <w:szCs w:val="16"/>
        </w:rPr>
        <w:t xml:space="preserve">RICS guidance note </w:t>
      </w:r>
      <w:r w:rsidR="005A4811" w:rsidRPr="005A4811">
        <w:rPr>
          <w:sz w:val="16"/>
          <w:szCs w:val="16"/>
        </w:rPr>
        <w:t>Comparable evidence in real estate valuation (</w:t>
      </w:r>
      <w:hyperlink r:id="rId3" w:history="1">
        <w:r w:rsidR="005A4811" w:rsidRPr="000A4016">
          <w:rPr>
            <w:rStyle w:val="Hyperlink"/>
            <w:sz w:val="16"/>
            <w:szCs w:val="16"/>
          </w:rPr>
          <w:t>1st edition</w:t>
        </w:r>
      </w:hyperlink>
      <w:r w:rsidR="005A4811" w:rsidRPr="005A4811">
        <w:rPr>
          <w:sz w:val="16"/>
          <w:szCs w:val="16"/>
        </w:rPr>
        <w:t>)</w:t>
      </w:r>
      <w:r w:rsidR="0011096E">
        <w:rPr>
          <w:sz w:val="16"/>
          <w:szCs w:val="16"/>
        </w:rPr>
        <w:t xml:space="preserve">, </w:t>
      </w:r>
      <w:r w:rsidR="000A4016">
        <w:rPr>
          <w:sz w:val="16"/>
          <w:szCs w:val="16"/>
        </w:rPr>
        <w:t>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18E7" w14:textId="469FCADD" w:rsidR="000669E3" w:rsidRDefault="000669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1289E" wp14:editId="01B7330F">
          <wp:simplePos x="0" y="0"/>
          <wp:positionH relativeFrom="margin">
            <wp:align>right</wp:align>
          </wp:positionH>
          <wp:positionV relativeFrom="paragraph">
            <wp:posOffset>-149201</wp:posOffset>
          </wp:positionV>
          <wp:extent cx="1182703" cy="61333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703" cy="61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852"/>
    <w:multiLevelType w:val="hybridMultilevel"/>
    <w:tmpl w:val="2F3EA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74611"/>
    <w:multiLevelType w:val="multilevel"/>
    <w:tmpl w:val="77F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5CE"/>
    <w:multiLevelType w:val="multilevel"/>
    <w:tmpl w:val="2B0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07DDD"/>
    <w:multiLevelType w:val="multilevel"/>
    <w:tmpl w:val="9638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64F87"/>
    <w:multiLevelType w:val="multilevel"/>
    <w:tmpl w:val="50D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3137"/>
    <w:multiLevelType w:val="multilevel"/>
    <w:tmpl w:val="78B6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570C5"/>
    <w:multiLevelType w:val="multilevel"/>
    <w:tmpl w:val="E59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4879FE"/>
    <w:multiLevelType w:val="multilevel"/>
    <w:tmpl w:val="BAF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A5BFC"/>
    <w:multiLevelType w:val="multilevel"/>
    <w:tmpl w:val="42DA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B369B"/>
    <w:multiLevelType w:val="hybridMultilevel"/>
    <w:tmpl w:val="AE847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07D84"/>
    <w:multiLevelType w:val="hybridMultilevel"/>
    <w:tmpl w:val="ED90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0522C"/>
    <w:multiLevelType w:val="multilevel"/>
    <w:tmpl w:val="619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C"/>
    <w:rsid w:val="00003674"/>
    <w:rsid w:val="000302B7"/>
    <w:rsid w:val="00032122"/>
    <w:rsid w:val="00033189"/>
    <w:rsid w:val="0003725A"/>
    <w:rsid w:val="000407A6"/>
    <w:rsid w:val="000433EC"/>
    <w:rsid w:val="00044F32"/>
    <w:rsid w:val="00046333"/>
    <w:rsid w:val="0005134F"/>
    <w:rsid w:val="000528D0"/>
    <w:rsid w:val="0005372F"/>
    <w:rsid w:val="00053E35"/>
    <w:rsid w:val="000627A6"/>
    <w:rsid w:val="00065B7D"/>
    <w:rsid w:val="00065C51"/>
    <w:rsid w:val="000669E3"/>
    <w:rsid w:val="00073752"/>
    <w:rsid w:val="000866A2"/>
    <w:rsid w:val="00095DAB"/>
    <w:rsid w:val="000976A0"/>
    <w:rsid w:val="000A4016"/>
    <w:rsid w:val="000A605E"/>
    <w:rsid w:val="000C1652"/>
    <w:rsid w:val="000C4024"/>
    <w:rsid w:val="000C57DF"/>
    <w:rsid w:val="000D5623"/>
    <w:rsid w:val="000E5D1E"/>
    <w:rsid w:val="000F2C51"/>
    <w:rsid w:val="00100997"/>
    <w:rsid w:val="0011096E"/>
    <w:rsid w:val="0011187D"/>
    <w:rsid w:val="00120C2D"/>
    <w:rsid w:val="00122544"/>
    <w:rsid w:val="001226F4"/>
    <w:rsid w:val="00124F08"/>
    <w:rsid w:val="0012777F"/>
    <w:rsid w:val="00145340"/>
    <w:rsid w:val="001473C9"/>
    <w:rsid w:val="00150E61"/>
    <w:rsid w:val="0015158E"/>
    <w:rsid w:val="00153B92"/>
    <w:rsid w:val="001657D4"/>
    <w:rsid w:val="0017310D"/>
    <w:rsid w:val="00183EFF"/>
    <w:rsid w:val="00187BA6"/>
    <w:rsid w:val="00192499"/>
    <w:rsid w:val="00192E48"/>
    <w:rsid w:val="0019435D"/>
    <w:rsid w:val="00195F35"/>
    <w:rsid w:val="001A64F3"/>
    <w:rsid w:val="001B462B"/>
    <w:rsid w:val="001C18A2"/>
    <w:rsid w:val="001C4442"/>
    <w:rsid w:val="001C578C"/>
    <w:rsid w:val="001C5E80"/>
    <w:rsid w:val="001E0570"/>
    <w:rsid w:val="001E3D3E"/>
    <w:rsid w:val="001E4A10"/>
    <w:rsid w:val="001E4BC9"/>
    <w:rsid w:val="001F4511"/>
    <w:rsid w:val="0020106A"/>
    <w:rsid w:val="0020642D"/>
    <w:rsid w:val="002107C0"/>
    <w:rsid w:val="00230309"/>
    <w:rsid w:val="002303C9"/>
    <w:rsid w:val="002870CB"/>
    <w:rsid w:val="00292D7C"/>
    <w:rsid w:val="002A3913"/>
    <w:rsid w:val="002A7A01"/>
    <w:rsid w:val="002A7B79"/>
    <w:rsid w:val="002B5A3A"/>
    <w:rsid w:val="002B6F09"/>
    <w:rsid w:val="002C0698"/>
    <w:rsid w:val="002C276C"/>
    <w:rsid w:val="002C55DC"/>
    <w:rsid w:val="002D61BF"/>
    <w:rsid w:val="002E3120"/>
    <w:rsid w:val="002E614B"/>
    <w:rsid w:val="002F1E11"/>
    <w:rsid w:val="002F2970"/>
    <w:rsid w:val="002F4F2B"/>
    <w:rsid w:val="00302AE4"/>
    <w:rsid w:val="00305281"/>
    <w:rsid w:val="003102B2"/>
    <w:rsid w:val="00313A60"/>
    <w:rsid w:val="00313F9F"/>
    <w:rsid w:val="00320670"/>
    <w:rsid w:val="0032599A"/>
    <w:rsid w:val="003435A3"/>
    <w:rsid w:val="00343D72"/>
    <w:rsid w:val="00361840"/>
    <w:rsid w:val="003774B8"/>
    <w:rsid w:val="00391B26"/>
    <w:rsid w:val="003938DE"/>
    <w:rsid w:val="003948B4"/>
    <w:rsid w:val="003979F4"/>
    <w:rsid w:val="003A2584"/>
    <w:rsid w:val="003A4FAE"/>
    <w:rsid w:val="003B5AD6"/>
    <w:rsid w:val="003C4E0E"/>
    <w:rsid w:val="003D51C3"/>
    <w:rsid w:val="003D72EE"/>
    <w:rsid w:val="003E278A"/>
    <w:rsid w:val="003E3772"/>
    <w:rsid w:val="004026C5"/>
    <w:rsid w:val="00405E95"/>
    <w:rsid w:val="004121AA"/>
    <w:rsid w:val="00425D03"/>
    <w:rsid w:val="00426E55"/>
    <w:rsid w:val="00430F5D"/>
    <w:rsid w:val="00443CF1"/>
    <w:rsid w:val="00454761"/>
    <w:rsid w:val="004610FC"/>
    <w:rsid w:val="00471B10"/>
    <w:rsid w:val="004727D0"/>
    <w:rsid w:val="0048519D"/>
    <w:rsid w:val="00497ED1"/>
    <w:rsid w:val="004A1C64"/>
    <w:rsid w:val="004A3A4A"/>
    <w:rsid w:val="004A454F"/>
    <w:rsid w:val="004B7ECD"/>
    <w:rsid w:val="004D0DCC"/>
    <w:rsid w:val="004D774A"/>
    <w:rsid w:val="004E484F"/>
    <w:rsid w:val="004E6B88"/>
    <w:rsid w:val="004F21A0"/>
    <w:rsid w:val="004F3368"/>
    <w:rsid w:val="00500802"/>
    <w:rsid w:val="005060CF"/>
    <w:rsid w:val="00510D2C"/>
    <w:rsid w:val="00512682"/>
    <w:rsid w:val="0051745C"/>
    <w:rsid w:val="005225D4"/>
    <w:rsid w:val="0055276C"/>
    <w:rsid w:val="00556E7F"/>
    <w:rsid w:val="00586BE4"/>
    <w:rsid w:val="0058732D"/>
    <w:rsid w:val="00590721"/>
    <w:rsid w:val="00596D09"/>
    <w:rsid w:val="005A3817"/>
    <w:rsid w:val="005A4811"/>
    <w:rsid w:val="005B4DFC"/>
    <w:rsid w:val="005D23F8"/>
    <w:rsid w:val="005D2EBA"/>
    <w:rsid w:val="005E3548"/>
    <w:rsid w:val="005E507F"/>
    <w:rsid w:val="006037E6"/>
    <w:rsid w:val="00603CCB"/>
    <w:rsid w:val="00607D8C"/>
    <w:rsid w:val="00612870"/>
    <w:rsid w:val="00614E41"/>
    <w:rsid w:val="00617705"/>
    <w:rsid w:val="00623E5F"/>
    <w:rsid w:val="00630030"/>
    <w:rsid w:val="00641929"/>
    <w:rsid w:val="00641A2A"/>
    <w:rsid w:val="006429F6"/>
    <w:rsid w:val="00646278"/>
    <w:rsid w:val="006670F5"/>
    <w:rsid w:val="00682AF7"/>
    <w:rsid w:val="0069356D"/>
    <w:rsid w:val="00693F58"/>
    <w:rsid w:val="00694AC7"/>
    <w:rsid w:val="006E6D8C"/>
    <w:rsid w:val="006F0406"/>
    <w:rsid w:val="006F339D"/>
    <w:rsid w:val="006F51BA"/>
    <w:rsid w:val="006F64A7"/>
    <w:rsid w:val="006F6D30"/>
    <w:rsid w:val="00711278"/>
    <w:rsid w:val="007118E7"/>
    <w:rsid w:val="0071439A"/>
    <w:rsid w:val="00715CFF"/>
    <w:rsid w:val="007213AD"/>
    <w:rsid w:val="00732CF9"/>
    <w:rsid w:val="0075030A"/>
    <w:rsid w:val="00757BF7"/>
    <w:rsid w:val="00760BF8"/>
    <w:rsid w:val="00762F1F"/>
    <w:rsid w:val="00763866"/>
    <w:rsid w:val="00770135"/>
    <w:rsid w:val="00782EF5"/>
    <w:rsid w:val="0079457D"/>
    <w:rsid w:val="00794681"/>
    <w:rsid w:val="00795AC1"/>
    <w:rsid w:val="00796BF2"/>
    <w:rsid w:val="007A3A96"/>
    <w:rsid w:val="007B2598"/>
    <w:rsid w:val="007B3768"/>
    <w:rsid w:val="007C57AA"/>
    <w:rsid w:val="007C7BE5"/>
    <w:rsid w:val="007D4AE4"/>
    <w:rsid w:val="007E0DB8"/>
    <w:rsid w:val="007E7F97"/>
    <w:rsid w:val="007F313A"/>
    <w:rsid w:val="007F3B06"/>
    <w:rsid w:val="0080591A"/>
    <w:rsid w:val="008263F0"/>
    <w:rsid w:val="00827320"/>
    <w:rsid w:val="008409F2"/>
    <w:rsid w:val="00840D04"/>
    <w:rsid w:val="008502A9"/>
    <w:rsid w:val="0085295A"/>
    <w:rsid w:val="00855985"/>
    <w:rsid w:val="00863DE6"/>
    <w:rsid w:val="0087285E"/>
    <w:rsid w:val="00876102"/>
    <w:rsid w:val="00881D7E"/>
    <w:rsid w:val="00895703"/>
    <w:rsid w:val="008A18B5"/>
    <w:rsid w:val="008B5174"/>
    <w:rsid w:val="008D0C1F"/>
    <w:rsid w:val="008D3A3F"/>
    <w:rsid w:val="008D7019"/>
    <w:rsid w:val="008E55BE"/>
    <w:rsid w:val="008F2489"/>
    <w:rsid w:val="008F6016"/>
    <w:rsid w:val="00901AFF"/>
    <w:rsid w:val="00905221"/>
    <w:rsid w:val="00905AD4"/>
    <w:rsid w:val="009147A6"/>
    <w:rsid w:val="0091682C"/>
    <w:rsid w:val="00920115"/>
    <w:rsid w:val="00922D78"/>
    <w:rsid w:val="009351C9"/>
    <w:rsid w:val="00955FA7"/>
    <w:rsid w:val="009652BE"/>
    <w:rsid w:val="009712EB"/>
    <w:rsid w:val="00987E6C"/>
    <w:rsid w:val="00993716"/>
    <w:rsid w:val="00994FD9"/>
    <w:rsid w:val="009C05CB"/>
    <w:rsid w:val="009C15B5"/>
    <w:rsid w:val="009C24A5"/>
    <w:rsid w:val="009C370B"/>
    <w:rsid w:val="009D5D12"/>
    <w:rsid w:val="009E1FFC"/>
    <w:rsid w:val="009E2DE1"/>
    <w:rsid w:val="009E3141"/>
    <w:rsid w:val="009E5C44"/>
    <w:rsid w:val="009F3389"/>
    <w:rsid w:val="00A023DE"/>
    <w:rsid w:val="00A04F9E"/>
    <w:rsid w:val="00A1239B"/>
    <w:rsid w:val="00A13DC1"/>
    <w:rsid w:val="00A16182"/>
    <w:rsid w:val="00A25631"/>
    <w:rsid w:val="00A36617"/>
    <w:rsid w:val="00A3691E"/>
    <w:rsid w:val="00A4303F"/>
    <w:rsid w:val="00A773A2"/>
    <w:rsid w:val="00A845A5"/>
    <w:rsid w:val="00A879D8"/>
    <w:rsid w:val="00A94161"/>
    <w:rsid w:val="00AB0B1D"/>
    <w:rsid w:val="00AB5AC9"/>
    <w:rsid w:val="00AB62AB"/>
    <w:rsid w:val="00AB76B4"/>
    <w:rsid w:val="00AD0EC2"/>
    <w:rsid w:val="00AE4F1D"/>
    <w:rsid w:val="00AF7BAE"/>
    <w:rsid w:val="00B00C89"/>
    <w:rsid w:val="00B01DDD"/>
    <w:rsid w:val="00B262D9"/>
    <w:rsid w:val="00B34D30"/>
    <w:rsid w:val="00B40D07"/>
    <w:rsid w:val="00B4114B"/>
    <w:rsid w:val="00B42F6C"/>
    <w:rsid w:val="00B537E2"/>
    <w:rsid w:val="00B5677E"/>
    <w:rsid w:val="00B616E1"/>
    <w:rsid w:val="00B6722C"/>
    <w:rsid w:val="00B67713"/>
    <w:rsid w:val="00B732FC"/>
    <w:rsid w:val="00B85AE7"/>
    <w:rsid w:val="00B9344A"/>
    <w:rsid w:val="00B96DC0"/>
    <w:rsid w:val="00B97293"/>
    <w:rsid w:val="00BD222E"/>
    <w:rsid w:val="00C23A87"/>
    <w:rsid w:val="00C26147"/>
    <w:rsid w:val="00C27A78"/>
    <w:rsid w:val="00C41888"/>
    <w:rsid w:val="00C51CF3"/>
    <w:rsid w:val="00C551B9"/>
    <w:rsid w:val="00C66F7C"/>
    <w:rsid w:val="00C92B24"/>
    <w:rsid w:val="00CA3358"/>
    <w:rsid w:val="00CA7148"/>
    <w:rsid w:val="00CB68F3"/>
    <w:rsid w:val="00CC26CE"/>
    <w:rsid w:val="00CD35AF"/>
    <w:rsid w:val="00CD4310"/>
    <w:rsid w:val="00CD64F9"/>
    <w:rsid w:val="00CE4498"/>
    <w:rsid w:val="00CF47F0"/>
    <w:rsid w:val="00D2207F"/>
    <w:rsid w:val="00D35837"/>
    <w:rsid w:val="00D46855"/>
    <w:rsid w:val="00D471B7"/>
    <w:rsid w:val="00D54341"/>
    <w:rsid w:val="00D613AD"/>
    <w:rsid w:val="00D66BE9"/>
    <w:rsid w:val="00D72A4F"/>
    <w:rsid w:val="00D84BDF"/>
    <w:rsid w:val="00DB08EF"/>
    <w:rsid w:val="00DB5CE7"/>
    <w:rsid w:val="00DB682C"/>
    <w:rsid w:val="00DC2704"/>
    <w:rsid w:val="00DC48AF"/>
    <w:rsid w:val="00DC732C"/>
    <w:rsid w:val="00DE19BD"/>
    <w:rsid w:val="00DE77BD"/>
    <w:rsid w:val="00E03279"/>
    <w:rsid w:val="00E0406F"/>
    <w:rsid w:val="00E20BB3"/>
    <w:rsid w:val="00E264F6"/>
    <w:rsid w:val="00E31C56"/>
    <w:rsid w:val="00E45DF6"/>
    <w:rsid w:val="00E50710"/>
    <w:rsid w:val="00E55372"/>
    <w:rsid w:val="00E74BB3"/>
    <w:rsid w:val="00E8069D"/>
    <w:rsid w:val="00E90A78"/>
    <w:rsid w:val="00E92E8D"/>
    <w:rsid w:val="00E95BBD"/>
    <w:rsid w:val="00EA4AE8"/>
    <w:rsid w:val="00EA72B0"/>
    <w:rsid w:val="00EB5D13"/>
    <w:rsid w:val="00EC4F29"/>
    <w:rsid w:val="00EC7147"/>
    <w:rsid w:val="00ED0843"/>
    <w:rsid w:val="00ED651F"/>
    <w:rsid w:val="00EE6B88"/>
    <w:rsid w:val="00F03372"/>
    <w:rsid w:val="00F155BE"/>
    <w:rsid w:val="00F2203C"/>
    <w:rsid w:val="00F2593D"/>
    <w:rsid w:val="00F271B7"/>
    <w:rsid w:val="00F27E0C"/>
    <w:rsid w:val="00F37457"/>
    <w:rsid w:val="00F51093"/>
    <w:rsid w:val="00F661C0"/>
    <w:rsid w:val="00F667FA"/>
    <w:rsid w:val="00F72E11"/>
    <w:rsid w:val="00F93EFC"/>
    <w:rsid w:val="00F94DA0"/>
    <w:rsid w:val="00FB1870"/>
    <w:rsid w:val="00FD28B0"/>
    <w:rsid w:val="00FF03DE"/>
    <w:rsid w:val="00FF274A"/>
    <w:rsid w:val="00FF620A"/>
    <w:rsid w:val="00FF6359"/>
    <w:rsid w:val="0F2F0369"/>
    <w:rsid w:val="14872A32"/>
    <w:rsid w:val="2C77B1ED"/>
    <w:rsid w:val="5289EF93"/>
    <w:rsid w:val="58C6A393"/>
    <w:rsid w:val="66C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B103"/>
  <w15:chartTrackingRefBased/>
  <w15:docId w15:val="{935D7A30-4E5D-460F-A53B-762B4CB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DC"/>
  </w:style>
  <w:style w:type="paragraph" w:styleId="Footer">
    <w:name w:val="footer"/>
    <w:basedOn w:val="Normal"/>
    <w:link w:val="FooterChar"/>
    <w:uiPriority w:val="99"/>
    <w:unhideWhenUsed/>
    <w:rsid w:val="002C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DC"/>
  </w:style>
  <w:style w:type="paragraph" w:styleId="ListParagraph">
    <w:name w:val="List Paragraph"/>
    <w:basedOn w:val="Normal"/>
    <w:uiPriority w:val="34"/>
    <w:qFormat/>
    <w:rsid w:val="002C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D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5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53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A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7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cs.org/globalassets/rics-website/media/upholding-professional-standards/sector-standards/valuation/valuation-professional-standards-uk-2015-revision-ric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cs.org/uk/upholding-professional-standards/sector-standards/valuation/red-book/red-book-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cs.org/uk/upholding-professional-standards/sector-standards/valuation/red-boo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cs.org/uk/upholding-professional-standards/sector-standards/valuation/rics-material-valuation-uncertainty-leaders-forum-u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s.org/uk/upholding-professional-standards/sector-standards/valuation/comparable-evidence-in-real-estate-valuation/" TargetMode="External"/><Relationship Id="rId2" Type="http://schemas.openxmlformats.org/officeDocument/2006/relationships/hyperlink" Target="https://www.legislation.gov.uk/ukpga/2003/14/schedule/6ZA?timeline=false" TargetMode="External"/><Relationship Id="rId1" Type="http://schemas.openxmlformats.org/officeDocument/2006/relationships/hyperlink" Target="https://www.ons.gov.uk/methodology/geography/ukgeographies/administrativegeography/eng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2" ma:contentTypeDescription="Create a new document." ma:contentTypeScope="" ma:versionID="03fd967999b392b7c7ba868e380f9df6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357a07a2913ca83f7b8e075e4f6ff0fe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502b3ff-8f09-4081-8833-b4c510e42fbb" xsi:nil="true"/>
    <SharedWithUsers xmlns="6f7e91c6-bdb7-4b1d-ba58-7ffef3a5da7c">
      <UserInfo>
        <DisplayName>Sam Roskams</DisplayName>
        <AccountId>455</AccountId>
        <AccountType/>
      </UserInfo>
      <UserInfo>
        <DisplayName>David Anstice-Pim</DisplayName>
        <AccountId>417</AccountId>
        <AccountType/>
      </UserInfo>
      <UserInfo>
        <DisplayName>Deborah  Faulkner</DisplayName>
        <AccountId>2793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DB1C-7D06-42ED-A4E6-B4219618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03B78-2BDD-494B-9633-503A7711A8C1}">
  <ds:schemaRefs>
    <ds:schemaRef ds:uri="http://schemas.microsoft.com/office/2006/metadata/properties"/>
    <ds:schemaRef ds:uri="http://schemas.microsoft.com/office/infopath/2007/PartnerControls"/>
    <ds:schemaRef ds:uri="d502b3ff-8f09-4081-8833-b4c510e42fbb"/>
    <ds:schemaRef ds:uri="6f7e91c6-bdb7-4b1d-ba58-7ffef3a5da7c"/>
  </ds:schemaRefs>
</ds:datastoreItem>
</file>

<file path=customXml/itemProps3.xml><?xml version="1.0" encoding="utf-8"?>
<ds:datastoreItem xmlns:ds="http://schemas.openxmlformats.org/officeDocument/2006/customXml" ds:itemID="{AB7454CE-16DB-4754-920C-B83B31C2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20FBE-FBE3-48E9-8E8E-8622880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Links>
    <vt:vector size="18" baseType="variant">
      <vt:variant>
        <vt:i4>1507352</vt:i4>
      </vt:variant>
      <vt:variant>
        <vt:i4>6</vt:i4>
      </vt:variant>
      <vt:variant>
        <vt:i4>0</vt:i4>
      </vt:variant>
      <vt:variant>
        <vt:i4>5</vt:i4>
      </vt:variant>
      <vt:variant>
        <vt:lpwstr>https://www.rics.org/uk/upholding-professional-standards/sector-standards/valuation/comparable-evidence-in-real-estate-valuation/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https://www.legislation.gov.uk/ukpga/2003/14/schedule/6ZA?timeline=false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https://www.ons.gov.uk/methodology/geography/ukgeographies/administrativegeography/england</vt:lpwstr>
      </vt:variant>
      <vt:variant>
        <vt:lpwstr>greater-london-and-the-london-boroughs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 Haque</dc:creator>
  <cp:keywords/>
  <dc:description/>
  <cp:lastModifiedBy>Sydney Cronin</cp:lastModifiedBy>
  <cp:revision>3</cp:revision>
  <dcterms:created xsi:type="dcterms:W3CDTF">2021-06-25T10:08:00Z</dcterms:created>
  <dcterms:modified xsi:type="dcterms:W3CDTF">2021-06-25T10:08:00Z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